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Eckert Rebecca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BULLITT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SYPRIS SOLUTIONS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("RSUs") under the 2025 Sypris Omnibus Plan. Each RSU represents a contingent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shall vest in full on the three-year anniversary date of the grant, provided that the Reporting Person remains employed by the Issuer on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A. Brady, by Power of Attorney on file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3856" TargetMode="External"/><Relationship Id="rId5" Type="http://schemas.openxmlformats.org/officeDocument/2006/relationships/hyperlink" Target="http://www.sec.gov/cgi-bin/browse-edgar?action=getcompany&amp;CIK=00008642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3397</Characters>
  <CharactersWithSpaces>3968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