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2677160</wp:posOffset>
            </wp:positionH>
            <wp:positionV relativeFrom="page">
              <wp:posOffset>311785</wp:posOffset>
            </wp:positionV>
            <wp:extent cx="219456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94560" cy="70294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4020" w:right="2200" w:hanging="1811"/>
        <w:spacing w:after="0" w:line="253" w:lineRule="auto"/>
        <w:tabs>
          <w:tab w:leader="none" w:pos="241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April 5, 2026</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9" w:lineRule="exact"/>
        <w:rPr>
          <w:rFonts w:ascii="MS PGothic" w:cs="MS PGothic" w:eastAsia="MS PGothic" w:hAnsi="MS PGothic"/>
          <w:sz w:val="18"/>
          <w:szCs w:val="18"/>
          <w:color w:val="auto"/>
        </w:rPr>
      </w:pPr>
    </w:p>
    <w:p>
      <w:pPr>
        <w:ind w:left="3960" w:right="2180" w:hanging="1773"/>
        <w:spacing w:after="0" w:line="260" w:lineRule="auto"/>
        <w:tabs>
          <w:tab w:leader="none" w:pos="2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 to 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0-24020</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SYPRIS SOLUTIONS,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2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2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61-1321992</w:t>
            </w:r>
          </w:p>
        </w:tc>
        <w:tc>
          <w:tcPr>
            <w:tcW w:w="0" w:type="dxa"/>
            <w:vAlign w:val="bottom"/>
          </w:tcPr>
          <w:p>
            <w:pPr>
              <w:spacing w:after="0"/>
              <w:rPr>
                <w:sz w:val="1"/>
                <w:szCs w:val="1"/>
                <w:color w:val="auto"/>
              </w:rPr>
            </w:pPr>
          </w:p>
        </w:tc>
      </w:tr>
      <w:tr>
        <w:trPr>
          <w:trHeight w:val="216"/>
        </w:trPr>
        <w:tc>
          <w:tcPr>
            <w:tcW w:w="42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2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42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rPr>
              <w:t>101 Bullitt Lane, Suite 450</w:t>
            </w: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2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Louisville, Kentucky 40222</w:t>
            </w: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2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(502) 329-2000</w:t>
            </w:r>
          </w:p>
        </w:tc>
        <w:tc>
          <w:tcPr>
            <w:tcW w:w="0" w:type="dxa"/>
            <w:vAlign w:val="bottom"/>
          </w:tcPr>
          <w:p>
            <w:pPr>
              <w:spacing w:after="0"/>
              <w:rPr>
                <w:sz w:val="1"/>
                <w:szCs w:val="1"/>
                <w:color w:val="auto"/>
              </w:rPr>
            </w:pPr>
          </w:p>
        </w:tc>
      </w:tr>
      <w:tr>
        <w:trPr>
          <w:trHeight w:val="216"/>
        </w:trPr>
        <w:tc>
          <w:tcPr>
            <w:tcW w:w="42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(Registrant’s telephone number,</w:t>
            </w:r>
          </w:p>
        </w:tc>
        <w:tc>
          <w:tcPr>
            <w:tcW w:w="0" w:type="dxa"/>
            <w:vAlign w:val="bottom"/>
          </w:tcPr>
          <w:p>
            <w:pPr>
              <w:spacing w:after="0"/>
              <w:rPr>
                <w:sz w:val="1"/>
                <w:szCs w:val="1"/>
                <w:color w:val="auto"/>
              </w:rPr>
            </w:pPr>
          </w:p>
        </w:tc>
      </w:tr>
      <w:tr>
        <w:trPr>
          <w:trHeight w:val="234"/>
        </w:trPr>
        <w:tc>
          <w:tcPr>
            <w:tcW w:w="42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including area code)</w:t>
            </w:r>
          </w:p>
        </w:tc>
        <w:tc>
          <w:tcPr>
            <w:tcW w:w="0" w:type="dxa"/>
            <w:vAlign w:val="bottom"/>
          </w:tcPr>
          <w:p>
            <w:pPr>
              <w:spacing w:after="0"/>
              <w:rPr>
                <w:sz w:val="1"/>
                <w:szCs w:val="1"/>
                <w:color w:val="auto"/>
              </w:rPr>
            </w:pPr>
          </w:p>
        </w:tc>
      </w:tr>
      <w:tr>
        <w:trPr>
          <w:trHeight w:val="27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220" w:type="dxa"/>
            <w:vAlign w:val="bottom"/>
            <w:tcBorders>
              <w:left w:val="single" w:sz="8" w:color="auto"/>
              <w:bottom w:val="single" w:sz="8" w:color="auto"/>
            </w:tcBorders>
          </w:tcPr>
          <w:p>
            <w:pPr>
              <w:jc w:val="center"/>
              <w:ind w:left="230"/>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0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260" w:type="dxa"/>
            <w:vAlign w:val="bottom"/>
            <w:tcBorders>
              <w:bottom w:val="single" w:sz="8" w:color="auto"/>
            </w:tcBorders>
          </w:tcPr>
          <w:p>
            <w:pPr>
              <w:spacing w:after="0"/>
              <w:rPr>
                <w:sz w:val="16"/>
                <w:szCs w:val="16"/>
                <w:color w:val="auto"/>
              </w:rPr>
            </w:pPr>
          </w:p>
        </w:tc>
        <w:tc>
          <w:tcPr>
            <w:tcW w:w="4220" w:type="dxa"/>
            <w:vAlign w:val="bottom"/>
            <w:tcBorders>
              <w:bottom w:val="single" w:sz="8" w:color="auto"/>
              <w:right w:val="single" w:sz="8" w:color="auto"/>
            </w:tcBorders>
          </w:tcPr>
          <w:p>
            <w:pPr>
              <w:jc w:val="center"/>
              <w:ind w:right="19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4220" w:type="dxa"/>
            <w:vAlign w:val="bottom"/>
            <w:tcBorders>
              <w:left w:val="single" w:sz="8" w:color="auto"/>
              <w:bottom w:val="single" w:sz="8" w:color="auto"/>
            </w:tcBorders>
          </w:tcPr>
          <w:p>
            <w:pPr>
              <w:jc w:val="center"/>
              <w:ind w:left="210"/>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0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SYPR</w:t>
            </w:r>
          </w:p>
        </w:tc>
        <w:tc>
          <w:tcPr>
            <w:tcW w:w="260" w:type="dxa"/>
            <w:vAlign w:val="bottom"/>
            <w:tcBorders>
              <w:bottom w:val="single" w:sz="8" w:color="auto"/>
            </w:tcBorders>
          </w:tcPr>
          <w:p>
            <w:pPr>
              <w:spacing w:after="0"/>
              <w:rPr>
                <w:sz w:val="16"/>
                <w:szCs w:val="16"/>
                <w:color w:val="auto"/>
              </w:rPr>
            </w:pPr>
          </w:p>
        </w:tc>
        <w:tc>
          <w:tcPr>
            <w:tcW w:w="4220" w:type="dxa"/>
            <w:vAlign w:val="bottom"/>
            <w:tcBorders>
              <w:bottom w:val="single" w:sz="8" w:color="auto"/>
              <w:right w:val="single" w:sz="8" w:color="auto"/>
            </w:tcBorders>
          </w:tcPr>
          <w:p>
            <w:pPr>
              <w:jc w:val="center"/>
              <w:ind w:right="190"/>
              <w:spacing w:after="0" w:line="193" w:lineRule="exact"/>
              <w:rPr>
                <w:sz w:val="20"/>
                <w:szCs w:val="20"/>
                <w:color w:val="auto"/>
              </w:rPr>
            </w:pPr>
            <w:r>
              <w:rPr>
                <w:rFonts w:ascii="Times New Roman" w:cs="Times New Roman" w:eastAsia="Times New Roman" w:hAnsi="Times New Roman"/>
                <w:sz w:val="18"/>
                <w:szCs w:val="18"/>
                <w:color w:val="auto"/>
                <w:w w:val="99"/>
              </w:rPr>
              <w:t>Nasdaq</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2800" w:val="left"/>
          <w:tab w:leader="none" w:pos="5640" w:val="left"/>
          <w:tab w:leader="none" w:pos="84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2026, the Registrant had 23,011,130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1002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Information</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April 5, 2026 and March 30,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(Loss) Income for the Three Months Ended April 5, 2026 and March 30,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April 5, 2026 and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Cash Flow Statements for the Three Months Ended April 5, 2026 and March 30,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Months Ended April 5, 2026 and March 30,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1A. Risk Factors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9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4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w:t>
            </w:r>
            <w:r>
              <w:rPr>
                <w:rFonts w:ascii="Times New Roman" w:cs="Times New Roman" w:eastAsia="Times New Roman" w:hAnsi="Times New Roman"/>
                <w:sz w:val="18"/>
                <w:szCs w:val="18"/>
                <w:b w:val="1"/>
                <w:bCs w:val="1"/>
                <w:color w:val="auto"/>
              </w:rPr>
              <w:t xml:space="preserve"> I.</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1.</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84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84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8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 share data)</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84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9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81"/>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7"/>
                <w:szCs w:val="17"/>
                <w:color w:val="auto"/>
              </w:rPr>
            </w:pPr>
          </w:p>
        </w:tc>
      </w:tr>
      <w:tr>
        <w:trPr>
          <w:trHeight w:val="238"/>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8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25,811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29,508</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9"/>
              </w:rPr>
              <w:t>Cost of sales</w:t>
            </w:r>
          </w:p>
        </w:tc>
        <w:tc>
          <w:tcPr>
            <w:tcW w:w="2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24,990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26,142</w:t>
            </w:r>
          </w:p>
        </w:tc>
      </w:tr>
      <w:tr>
        <w:trPr>
          <w:trHeight w:val="209"/>
        </w:trPr>
        <w:tc>
          <w:tcPr>
            <w:tcW w:w="34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3,496</w:t>
            </w:r>
          </w:p>
        </w:tc>
      </w:tr>
      <w:tr>
        <w:trPr>
          <w:trHeight w:val="210"/>
        </w:trPr>
        <w:tc>
          <w:tcPr>
            <w:tcW w:w="34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4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3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before taxes</w:t>
            </w:r>
          </w:p>
        </w:tc>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r>
      <w:tr>
        <w:trPr>
          <w:trHeight w:val="229"/>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4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r>
      <w:tr>
        <w:trPr>
          <w:trHeight w:val="263"/>
        </w:trPr>
        <w:tc>
          <w:tcPr>
            <w:tcW w:w="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w w:val="99"/>
              </w:rPr>
              <w:t>Net loss</w:t>
            </w:r>
          </w:p>
        </w:tc>
        <w:tc>
          <w:tcPr>
            <w:tcW w:w="248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34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4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80" w:type="dxa"/>
            <w:vAlign w:val="bottom"/>
          </w:tcPr>
          <w:p>
            <w:pPr>
              <w:spacing w:after="0"/>
              <w:rPr>
                <w:sz w:val="18"/>
                <w:szCs w:val="18"/>
                <w:color w:val="auto"/>
              </w:rPr>
            </w:pPr>
          </w:p>
        </w:tc>
        <w:tc>
          <w:tcPr>
            <w:tcW w:w="4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8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420" w:type="dxa"/>
            <w:vAlign w:val="bottom"/>
            <w:gridSpan w:val="2"/>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22,329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22,140</w:t>
            </w:r>
          </w:p>
        </w:tc>
      </w:tr>
      <w:tr>
        <w:trPr>
          <w:trHeight w:val="216"/>
        </w:trPr>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22,329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22,140</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4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omprehensive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561"/>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gridSpan w:val="2"/>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alance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jc w:val="right"/>
              <w:ind w:right="39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6,770</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9,846</w:t>
            </w: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52,463</w:t>
            </w:r>
          </w:p>
        </w:tc>
      </w:tr>
      <w:tr>
        <w:trPr>
          <w:trHeight w:val="230"/>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10,808</w:t>
            </w:r>
          </w:p>
        </w:tc>
      </w:tr>
      <w:tr>
        <w:trPr>
          <w:trHeight w:val="209"/>
        </w:trPr>
        <w:tc>
          <w:tcPr>
            <w:tcW w:w="2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46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15,566</w:t>
            </w: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16,004</w:t>
            </w:r>
          </w:p>
        </w:tc>
      </w:tr>
      <w:tr>
        <w:trPr>
          <w:trHeight w:val="229"/>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20" w:type="dxa"/>
            <w:vAlign w:val="bottom"/>
          </w:tcPr>
          <w:p>
            <w:pPr>
              <w:spacing w:after="0"/>
              <w:rPr>
                <w:sz w:val="19"/>
                <w:szCs w:val="19"/>
                <w:color w:val="auto"/>
              </w:rPr>
            </w:pP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4,734</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0" w:type="dxa"/>
            <w:vAlign w:val="bottom"/>
          </w:tcPr>
          <w:p>
            <w:pPr>
              <w:spacing w:after="0"/>
              <w:rPr>
                <w:sz w:val="20"/>
                <w:szCs w:val="20"/>
                <w:color w:val="auto"/>
              </w:rPr>
            </w:pPr>
          </w:p>
        </w:tc>
      </w:tr>
      <w:tr>
        <w:trPr>
          <w:trHeight w:val="228"/>
        </w:trPr>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107,811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-576580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-302260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-2540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iabilities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p>
    <w:p>
      <w:pPr>
        <w:spacing w:after="0" w:line="31" w:lineRule="exact"/>
        <w:rPr>
          <w:sz w:val="20"/>
          <w:szCs w:val="20"/>
          <w:color w:val="auto"/>
        </w:rPr>
      </w:pPr>
    </w:p>
    <w:p>
      <w:pPr>
        <w:sectPr>
          <w:pgSz w:w="11900" w:h="16838" w:orient="portrait"/>
          <w:cols w:equalWidth="0" w:num="2">
            <w:col w:w="2500" w:space="40"/>
            <w:col w:w="870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9,932</w:t>
            </w:r>
          </w:p>
        </w:tc>
        <w:tc>
          <w:tcPr>
            <w:tcW w:w="5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obligations, current portion</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financing obligations,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 line of credit</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 current portion</w:t>
            </w:r>
          </w:p>
        </w:tc>
        <w:tc>
          <w:tcPr>
            <w:tcW w:w="4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obligations, net of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related party, net of current portion</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975,150 shares authorized; no shares issued</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 stock, par value $0.01 per share, 24,850 shares authorized; no shares issued</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non-voting, par value $0.01 per share, 10,000,000 shares authorized; no shares issued</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30,000,000 shares authorized; 23,013,013 shares issued and</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22,991,500 outstanding in 2026 and 23,051,483 shares issued and 23,029,970 outstanding in 2025</w:t>
            </w:r>
          </w:p>
        </w:tc>
        <w:tc>
          <w:tcPr>
            <w:tcW w:w="4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158,203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(15,486)</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21,513 shares in 2026 and 2025</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ash</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low</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loan costs recognized</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items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 to pension plans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 current and non-current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(8,600)</w:t>
            </w:r>
          </w:p>
        </w:tc>
      </w:tr>
      <w:tr>
        <w:trPr>
          <w:trHeight w:val="210"/>
        </w:trPr>
        <w:tc>
          <w:tcPr>
            <w:tcW w:w="8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(5,534)</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 related party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loan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equipment financing obligations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repurchase of shares for minimum statutory tax withholdings</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balances</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9,675</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 acquired with equipment financing loan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r>
      <w:tr>
        <w:trPr>
          <w:trHeight w:val="223"/>
        </w:trPr>
        <w:tc>
          <w:tcPr>
            <w:tcW w:w="33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09"/>
        </w:trPr>
        <w:tc>
          <w:tcPr>
            <w:tcW w:w="3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 balance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23,020,010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156,980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(118,612)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3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30, 2025 balance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23,042,510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157,281</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(119,511)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r>
      <w:tr>
        <w:trPr>
          <w:trHeight w:val="223"/>
        </w:trPr>
        <w:tc>
          <w:tcPr>
            <w:tcW w:w="33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0"/>
        </w:trPr>
        <w:tc>
          <w:tcPr>
            <w:tcW w:w="3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balance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23,029,970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157,996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(38,470)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3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April 5, 2026 balance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22,991,500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158,203</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(129,076)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840" w:type="dxa"/>
            <w:vAlign w:val="bottom"/>
            <w:gridSpan w:val="13"/>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ypris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olutions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references to “Sypris,” the “Company,” “we” or “our” include Sypris Solutions, Inc. and its wholly-owned subsidiaries. Sypris is a diversified provider of truck components, oil and gas pipeline components and aerospace and defense electronics. The Company produces a wide range of manufactured products, often under multi-year, sole-source contracts. The Company offers such products through its two business segments, Sypris Technologies, Inc. (“Sypris Technologies”) and Sypris Electronics, LLC (“Sypris Electronics”) (See Note 11).</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Sypris Solutions, Inc. and its wholly-owned subsidiaries and have been prepared by the Company in accordance with accounting principles generally accepted in the United States of America (“U.S. GAAP”) and with the instructions to Form 10-Q and Article 10 of Regulation S-X of the SEC. Accordingly, pursuant to such rules and regulations, certain notes and other financial information included in audited financial statements have been condensed or omitted. The December 31, 2025 consolidated balance sheet data was derived from audited statements, but does not include all disclosures required by U.S. GAAP. The Company’s operations are domiciled in the United States (U.S.) and Mexico, and we serve a wide variety of domestic and international customers. All intercompany transactions and accounts have been eliminated.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unaudited consolidated financial statements reflect, in the opinion of management, all material adjustments (which include only normal recurring adjustments) necessary to fairly state the results of operations, financial position and cash flows for the periods presented, and the disclosures herein are adequate to make the information presented not misleading. Preparing financial statements requires management to make estimates and assumptions that affect the reported amounts of assets, liabilities, revenue and expenses. Changes in facts and circumstances could have a significant impact on the resulting estimated amounts included in our consolidated financial statements. Actual results could differ from these estimates. Actual results for the three months ended April 5, 2026 are not necessarily indicative of the results that may be expected for the year ending December 31, 2026. These unaudited consolidated financial statements should be read in conjunction with the consolidated financial statements, and notes thereto, for the year ended December 31, 2025 as presented in the Company’s Annual Report on Form 10-K.</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makes technical corrections, clarifications, and other minor improvements to various Topics within the Accounting Standards Codification. The amendments are intended to improve the consistency and usability of U.S. GAAP and do not introduce significant new accounting requirements. ASU 2025-12 is effective for annual periods beginning after December 15, 2026, and interim periods within those annual periods, with early adoption permitted. The Company is currently evaluating the impact of this guidance; however, it does not expect adoption to have a material impact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the application of interim reporting guidance and improves the organization of disclosure requirements within Topic 270. The amendments do not change the underlying principles of interim reporting or require additional disclosures. ASU 2025-11 is effective for interim reporting periods within annual periods beginning after December 15, 2027, with early adoption permitted. The Company is currently evaluating the impact of this guidance; however, it does not expect adoption to have a material impact on its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ASU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We adopted this standard on a prospective basis for interim and annual periods beginning January 1, 2026. The adoption and the election of the practical expedient did not have a material impact on the Company’s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2024-03, Disaggregation of Income Statement Expenses (Subtopic 220-40), which requires public entities to disclose detailed components of income statement expenses, such as inventory purchases, employee compensation, depreciation and amortization within relevant expense captions. Companies are also required to explain amounts not disaggregated and define and disclose total selling expenses. The guidance is effective for fiscal years beginning after December 15, 2026, and interim periods beginning after December 15, 2027. We are currently evaluating the impact of the guidance on our financial statement disclosures.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our consolidated financial statements.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The Company has entered into operating leases for real estate. These leases have initial terms which range from 10 years to 20 years, and often include one or more options to renew. These renewal terms can extend the lease term by 5 years and will be included in the lease term when it is reasonably certain that the Company will exercise the option. The Company’s existing leases do not contain significant restrictive provisions; however, certain leases contain provisions for payment of real estate taxes, insurance and maintenance costs by the Company. The lease agreements do not contain any residual value guarantees. Some of the real estate lease agreements include periods of rent holidays and payments that escalate over the lease term by specified amounts. All operating lease expenses are recognized on a straight-line basis over the lease term. For finance leases, interest expense is recognized on the lease liability and the right-of-use asset is amortized over the lease term.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leases may require variable lease payments based on factors specific to the individual agreements. Variable lease payments for which we are typically responsible include real estate taxes, insurance and common area maintenance expenses based on the Company’s pro-rata share, which are excluded from the measurement of the lease liability. Additionally, one of the Company’s real estate leases has lease payments that adjust based on annual changes in the Consumer Price Index (“CPI”). The leases that are dependent upon CPI are initially measured using the index or rate at the commencement date and are included in the measurement of the lease liability. Incremental payments due to changes in the index are treated as variable lease costs and expensed as incurred.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closed on a sale leaseback transaction with an unrelated third party. Under this transaction, the Company sold its facility located in Louisville, Kentucky, with a net book value of $414,000 for gross proceeds of $3,200,000, which was reduced by transaction costs of $280,000 for net cash proceeds of approximately $2,920,000. The lease agreement has a term of 20 years, and our initial annual cash payments to the buyer-lessor are approximately $280,000, and the payments will escalate three percent annually. The Company recognized a gain of $2,506,000 on this transaction, which is included in other expense, net in the consolidated statements of operations. Right-of-use assets and lease liabilities recognized related to this sale leaseback transaction were $2,205,000.</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five-year extension of its land and building in Toluca, Mexico and reassessed its expectations to exercise one additional extension. As a result, the Company recognized an increase in the operating right-of-use assets and operating lease liabilities of $2,486,000 and an increase of its finance lease of $3,645,000.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operating leases are included in “Operating lease right-of-use assets” on the Company’s consolidated balance sheets and represent the Company’s right to use the underlying asset for the lease term. The Company’s obligations to make lease payments are included in “Operating lease liabilities, current portion” and “Operating lease liabilities, net of current portion” on the Company’s consolidated balance sheets. Operating lease right-of-use assets and liabilities are recognized at the commencement date based on the present value of lease payments over the lease term. As of April 5, 2026, total right-of-use assets and operating lease liabilities were approximately $7,127,000 and $7,701,000, respectively. As of December 31, 2025, total right-of-use assets and operating lease liabilities were approximately $7,333,000 and $7,692,000, respectively.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use our incremental borrowing rate, which is updated quarterly, based on the information available at the commencement date, in determining the present value of lease payments. If readily available, we would use the implicit rate in a new lease to determine the present value of lease payments. The Company has certain contracts for real estate which may contain lease and non-lease components which it has elected to treat as a single lease component.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short-term operating leases, primarily for office equipment with an initial term of twelve months or less. Lease payments associated with short-term leases are expensed as incurred and are not recorded on the Company’s balance sheet. The related lease expense for short-term leases was not material for the three months ended April 5, 2026 and March 30,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related to lease expense for the three months ended April 5, 2026 and March 30, 2025 (in thousands):</w:t>
      </w:r>
    </w:p>
    <w:p>
      <w:pPr>
        <w:sectPr>
          <w:pgSz w:w="11900" w:h="16838" w:orient="portrait"/>
          <w:cols w:equalWidth="0" w:num="1">
            <w:col w:w="11320"/>
          </w:cols>
          <w:pgMar w:left="32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7722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lease expense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leases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7722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color w:val="auto"/>
        </w:rPr>
        <w:t>Operating cash flows from finance leases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Financing cash flows from finance leases</w:t>
      </w:r>
    </w:p>
    <w:p>
      <w:pPr>
        <w:spacing w:after="0" w:line="20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The annual future minimum lease payments as of April 5, 2026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7722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to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24 to 36 months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to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48 to 60 months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 w:type="dxa"/>
            <w:vAlign w:val="bottom"/>
          </w:tcPr>
          <w:p>
            <w:pPr>
              <w:spacing w:after="0"/>
              <w:rPr>
                <w:sz w:val="17"/>
                <w:szCs w:val="17"/>
                <w:color w:val="auto"/>
              </w:rPr>
            </w:pPr>
          </w:p>
        </w:tc>
      </w:tr>
      <w:tr>
        <w:trPr>
          <w:trHeight w:val="238"/>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18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234"/>
        </w:trPr>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Borders>
              <w:top w:val="single" w:sz="8" w:color="auto"/>
            </w:tcBorders>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220" w:type="dxa"/>
            <w:vAlign w:val="bottom"/>
          </w:tcPr>
          <w:p>
            <w:pPr>
              <w:spacing w:after="0"/>
              <w:rPr>
                <w:sz w:val="24"/>
                <w:szCs w:val="24"/>
                <w:color w:val="auto"/>
              </w:rPr>
            </w:pPr>
          </w:p>
        </w:tc>
        <w:tc>
          <w:tcPr>
            <w:tcW w:w="30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01"/>
        </w:trPr>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 w:type="dxa"/>
            <w:vAlign w:val="bottom"/>
          </w:tcPr>
          <w:p>
            <w:pPr>
              <w:spacing w:after="0"/>
              <w:rPr>
                <w:sz w:val="17"/>
                <w:szCs w:val="17"/>
                <w:color w:val="auto"/>
              </w:rPr>
            </w:pPr>
          </w:p>
        </w:tc>
      </w:tr>
      <w:tr>
        <w:trPr>
          <w:trHeight w:val="238"/>
        </w:trPr>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18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r>
      <w:tr>
        <w:trPr>
          <w:trHeight w:val="855"/>
        </w:trPr>
        <w:tc>
          <w:tcPr>
            <w:tcW w:w="22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38"/>
        </w:trPr>
        <w:tc>
          <w:tcPr>
            <w:tcW w:w="2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191"/>
        </w:trPr>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r>
      <w:tr>
        <w:trPr>
          <w:trHeight w:val="216"/>
        </w:trPr>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r>
      <w:tr>
        <w:trPr>
          <w:trHeight w:val="230"/>
        </w:trPr>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r>
      <w:tr>
        <w:trPr>
          <w:trHeight w:val="232"/>
        </w:trPr>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w:t>
            </w:r>
          </w:p>
        </w:tc>
      </w:tr>
    </w:tbl>
    <w:p>
      <w:pPr>
        <w:spacing w:after="0" w:line="20" w:lineRule="exact"/>
        <w:rPr>
          <w:sz w:val="20"/>
          <w:szCs w:val="20"/>
          <w:color w:val="auto"/>
        </w:rPr>
      </w:pPr>
    </w:p>
    <w:p>
      <w:pPr>
        <w:sectPr>
          <w:pgSz w:w="11900" w:h="16838" w:orient="portrait"/>
          <w:cols w:equalWidth="0" w:num="2">
            <w:col w:w="7660" w:space="360"/>
            <w:col w:w="3300"/>
          </w:cols>
          <w:pgMar w:left="320" w:top="580" w:right="259" w:bottom="1440"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73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2"/>
        </w:trPr>
        <w:tc>
          <w:tcPr>
            <w:tcW w:w="736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line="192" w:lineRule="exact"/>
              <w:rPr>
                <w:sz w:val="20"/>
                <w:szCs w:val="20"/>
                <w:color w:val="auto"/>
              </w:rPr>
            </w:pPr>
            <w:r>
              <w:rPr>
                <w:rFonts w:ascii="Times New Roman" w:cs="Times New Roman" w:eastAsia="Times New Roman" w:hAnsi="Times New Roman"/>
                <w:sz w:val="18"/>
                <w:szCs w:val="18"/>
                <w:color w:val="auto"/>
              </w:rPr>
              <w:t>15,752</w:t>
            </w:r>
          </w:p>
        </w:tc>
        <w:tc>
          <w:tcPr>
            <w:tcW w:w="5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7,828</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(8,051)</w:t>
            </w:r>
          </w:p>
        </w:tc>
        <w:tc>
          <w:tcPr>
            <w:tcW w:w="5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w:t>
            </w:r>
          </w:p>
        </w:tc>
      </w:tr>
      <w:tr>
        <w:trPr>
          <w:trHeight w:val="223"/>
        </w:trPr>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lease terms and discount rates for leases as of April 5,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680" w:type="dxa"/>
            <w:vAlign w:val="bottom"/>
            <w:gridSpan w:val="2"/>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(percentage):</w:t>
            </w:r>
          </w:p>
        </w:tc>
        <w:tc>
          <w:tcPr>
            <w:tcW w:w="3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8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80" w:right="259" w:bottom="1440" w:gutter="0" w:footer="0" w:header="0"/>
          <w:type w:val="continuous"/>
        </w:sectPr>
      </w:pPr>
    </w:p>
    <w:bookmarkStart w:id="10" w:name="page11"/>
    <w:bookmarkEnd w:id="10"/>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by transferring control of a promised product or rendering a service to a customer. The amount of revenue recognized reflects the consideration the Company expects to be entitled to in exchange for the product or service (the “transaction price”). The Company’s transaction price in its contracts with customers is generally fixed; no payment discounts, rebates or refunds are included within its contracts. The Company also does not provide service-type warranties, nor does it allow customer returns. In connection with the sale of various parts to customers, the Company is subject to typical assurance warranty obligations covering the compliance of the electronics parts produced to agreed-upon specifications. Customer returns, when they occur, relate to quality rework issues and are not connected to any repurchase obligation of the Company.</w:t>
      </w:r>
    </w:p>
    <w:p>
      <w:pPr>
        <w:spacing w:after="0" w:line="18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product or render a service to a customer and is the unit of account to which the transaction price is allocated under ASC 606. When a contract contains multiple performance obligations, we allocate the transaction price to the individual performance obligations using the price at which the promised goods or services would be sold to customers on a standalone basis. For most sales within our Sypris Technologies segment and a portion of sales within Sypris Electronics, control transfers to the customer at a point in time. Indicators that control has transferred to the customer include the Company having a present right to payment, the customer obtaining legal title and the customer having the significant risks and rewards of ownership. The Company’s principal terms of sale are FOB Shipping Point, or equivalent, and, as such, the Company primarily transfers control and records revenue for product sales upon shipment.</w:t>
      </w:r>
    </w:p>
    <w:p>
      <w:pPr>
        <w:spacing w:after="0" w:line="189"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For contracts where Sypris Electronics serves as a contractor for aerospace and defense companies under federally funded programs, we generally recognize revenue over time as we perform because of continuous transfer of control to the customer. This continuous transfer of control to the customer is supported by clauses in the contracts that allow the customer to unilaterally terminate the contract for convenience, pay us for costs incurred plus a reasonable profit and take control of any work in process. Because control is transferred over time, revenue and gross profit is recognized based on the extent of progress towards completion of the performance obligation. We use labor hours incurred as a measure of progress for these contracts because it best depicts the Company’s performance of the obligation to the customer, which occurs as we incur labor on our contracts. Under this measure of progress, the extent of progress towards completion is measured based on the ratio of labor hours incurred to date to the total estimated labor hours at completion of the performance obligation.</w:t>
      </w:r>
    </w:p>
    <w:p>
      <w:pPr>
        <w:spacing w:after="0" w:line="192"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Some of Sypris Electronics’ contractual arrangements with customers are for one year or less. For the remaining population of contracts greater than one year we had $64,060,000 of remaining performance obligations as of April 5, 2026, all of which were long-term Sypris Electronics’ contracts. We expect to recognize approximately 80% of the remaining performance obligations as revenue in 2026 and the balance thereafter. We estimate our remaining performance obligations at a point in time. Actual amounts and timing of revenue recognized may differ from these estimates due to contract modifications, program schedule changes and material availability delays.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ended April 5, 2026 and March 30, 2025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38"/>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Sypris Technologies – transferred point in time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12,412</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13,573</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Sypris Electronics – transferred point in time</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2,842</w:t>
            </w:r>
          </w:p>
        </w:tc>
        <w:tc>
          <w:tcPr>
            <w:tcW w:w="80" w:type="dxa"/>
            <w:vAlign w:val="bottom"/>
          </w:tcPr>
          <w:p>
            <w:pPr>
              <w:spacing w:after="0"/>
              <w:rPr>
                <w:sz w:val="18"/>
                <w:szCs w:val="18"/>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Sypris Electronics – transferred over time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13,093</w:t>
            </w:r>
          </w:p>
        </w:tc>
        <w:tc>
          <w:tcPr>
            <w:tcW w:w="80" w:type="dxa"/>
            <w:vAlign w:val="bottom"/>
            <w:shd w:val="clear" w:color="auto" w:fill="CCEEFF"/>
          </w:tcPr>
          <w:p>
            <w:pPr>
              <w:spacing w:after="0"/>
              <w:rPr>
                <w:sz w:val="19"/>
                <w:szCs w:val="19"/>
                <w:color w:val="auto"/>
              </w:rPr>
            </w:pPr>
          </w:p>
        </w:tc>
      </w:tr>
      <w:tr>
        <w:trPr>
          <w:trHeight w:val="223"/>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Differences in the timing of revenue recognition, billings and cash collections results in billed accounts receivable, unbilled receivables (contract assets) and deferred revenue, customer deposits and billings in excess of revenue recognized (contract liabilities) on the consolidated balance sheets.</w:t>
      </w:r>
    </w:p>
    <w:p>
      <w:pPr>
        <w:spacing w:after="0" w:line="16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 Contract assets include unbilled amounts typically resulting from sales under contracts where revenue is recognized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revenue recognized exceeds the amount billed to the customer, and the right to payment is subject to conditions other than the passage of time. Contract assets are generally classified as current assets in the consolidated balance sheets. The balance of contract assets as of April 5, 2026 and December 31, 2025 were $3,701,000 and $3,798,000, respectively, and are included within other current assets in the accompanying consolidated balance sheets.</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 Some of the Company’s contracts within Sypris Electronics are billed as work progresses in accordance with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either at periodic intervals or upon achievement of certain milestones. Often this results in billing occurring prior to revenue recognition resulting in contract liabilities. Additionally, the Company occasionally receives cash payments from customers in advance of the Company’s performance resulting in contract liabilities. These contract liabilities are classified as either current or long-term in the consolidated balance sheets based on the timing of when the Company expects to recognize revenue. As of April 5, 2026, the contract liabilities balance was $45,085,000, of which $42,850,000 was included within accrued liabilities and $2,235,000 was included within other liabilities in the accompanying consolidated balance sheets. As of December 31, 2025, the contract liabilities balance was $44,242,000, of which $42,256,000 was included within accrued liabilities and $1,986,000 was included within other liabilities in the accompanying consolidated balance sheets. Payments received from customers in advance of revenue recognition are not considered to be significant financing components because they are used to meet working capital demands that can be higher in the early stages of a contract.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contract liabilities in the first quarter of 2026 is a result of additional milestone payments partially offset by shipments for Sypris Electronics during the period. The Company recognized revenue from the amortization of contract liabilities of $7,143,000 and $9,721,000 during the three months ended April 5, 2026 and March 30,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expensed when incurred because the amortization period would have been one year or less. These costs are recorded in selling, general and administrative expense in the consolidated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with original expected lengths of one year or less.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formula that determines earnings per share for common stock and participating securities. Restricted stock awards granted by the Company are considered a participating security since it contains a non-forfeitable right to dividends.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potentially dilutive securities include potential common shares related to our stock options and restricted stock. Diluted earnings per share considers the impact of potentially dilutive securities except in periods in which there is a loss because the inclusion of the potential common shares would have an anti-dilutive effect. Diluted earnings per share excludes the impact of common shares related to our stock options in periods in which the option exercise price is greater than the average market price of our common stock for the period. For the three months ended April 5, 2026 and March 30, 2025, diluted weighted average common shares do not include the impact of any outstanding stock options and unvested compensation-related shares because the effect of these items on diluted net loss would be anti-dilutive.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 average shares outstanding used in the calculation of basic and diluted loss per common share is as follows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01"/>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6"/>
              </w:rPr>
              <w:t>March 30,</w:t>
            </w:r>
          </w:p>
        </w:tc>
        <w:tc>
          <w:tcPr>
            <w:tcW w:w="100" w:type="dxa"/>
            <w:vAlign w:val="bottom"/>
            <w:gridSpan w:val="2"/>
          </w:tcPr>
          <w:p>
            <w:pPr>
              <w:spacing w:after="0"/>
              <w:rPr>
                <w:sz w:val="17"/>
                <w:szCs w:val="17"/>
                <w:color w:val="auto"/>
              </w:rPr>
            </w:pPr>
          </w:p>
        </w:tc>
      </w:tr>
      <w:tr>
        <w:trPr>
          <w:trHeight w:val="238"/>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stockholders: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(4,126)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distributed and undistributed earnings allocable to restricted awarded holders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r>
      <w:tr>
        <w:trPr>
          <w:trHeight w:val="263"/>
        </w:trPr>
        <w:tc>
          <w:tcPr>
            <w:tcW w:w="7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common share attributable to stockholders: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22,329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80" w:type="dxa"/>
            <w:vAlign w:val="bottom"/>
          </w:tcPr>
          <w:p>
            <w:pPr>
              <w:spacing w:after="0"/>
              <w:rPr>
                <w:sz w:val="18"/>
                <w:szCs w:val="18"/>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additional shares assuming conversion of potential common shares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consists of the following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9,884</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consists of the following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46,347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7,442</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(3,165)</w:t>
            </w:r>
          </w:p>
        </w:tc>
      </w:tr>
      <w:tr>
        <w:trPr>
          <w:trHeight w:val="223"/>
        </w:trPr>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furniture and fixtures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(63,606)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(62,953)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0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0"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3"/>
              </w:rPr>
              <w:t>(10)</w:t>
            </w: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 consists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obligation, current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financing obligations, current portion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Working capital line of credit</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6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 payable – related party, current portion</w:t>
            </w: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66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and finance lease obligations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obligation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financing obligations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6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r>
      <w:tr>
        <w:trPr>
          <w:trHeight w:val="229"/>
        </w:trPr>
        <w:tc>
          <w:tcPr>
            <w:tcW w:w="66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unamortized debt issuance and modification costs</w:t>
            </w:r>
          </w:p>
        </w:tc>
        <w:tc>
          <w:tcPr>
            <w:tcW w:w="2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6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and finance lease obligations, net of unamortized debt costs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Note Payable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Related Party</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received the benefit of cash infusions from Gill Family Capital Management, Inc. (“GFCM”) in the form of secured promissory note obligations totaling $12,000,000 in principal as of April 5, 2026 and December 31, 2025 (the “Note”). GFCM is an entity controlled by the Company’s Chairman, President and Chief Executive Officer, Jeffrey T. Gill, and one of our directors, R. Scott Gill. GFCM, Jeffrey T. Gill and R. Scott Gill are significant beneficial stockholders of the Company.</w:t>
      </w:r>
    </w:p>
    <w:p>
      <w:pPr>
        <w:spacing w:after="0" w:line="180"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the Company and GFCM amended the Note to, among other things: (i) increase the principal amount by $3,000,000 to $12,000,000, (ii) extend the maturity dates for $2,000,000 of the obligation to April 1, 2026, $2,000,000 to April 1, 2027, $5,000,000 on April 1, 2028, and the balance of $3,000,000 due on April 1, 2029, and (iii) allow for the deferral of payment for up to 100% of the interest due on the Note to April 1, 2026. During the first quarter of 2026, the Company further amended the Note to extend the maturity dates on all tranches by one year and allow for the continued deferral of payment for up to 100% of the interest due on the Note to April 1, 2027. This additional $3,000,000 loaned to the Company during 2025 and the modification during the first quarter of 2026 was approved by the Audit Committee and provided the Company necessary liquidity.</w:t>
      </w:r>
    </w:p>
    <w:p>
      <w:pPr>
        <w:spacing w:after="0" w:line="187"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April 5, 2026, our principal commitment under the Note was $2,000,000 due on April 1, 2027, $2,000,000 on April 1, 2028, $5,000,000 on April 1, 2029 and the balance of $3,000,000 due on April 1, 2030. Interest on the Note is reset on April 1 of each year, at the greater of 8.0% or 500 basis points above the five-year Treasury note average during the preceding 90-day period, in each case, payable quarterly, which was 9.25% as of April 5, 2026. The Note allows for a deferral of payment for up to 100% of the interest due on the Note to April 1, 2027. The total amount of interest on the Note deferred as of April 5, 2026 and December 31, 2025 was $2,044,000 and $1,709,000, respectively, and is included in accrued liabilities in the accompanying consolidated balance sheets.</w:t>
      </w:r>
    </w:p>
    <w:p>
      <w:pPr>
        <w:spacing w:after="0" w:line="18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Obligations under the Note are guaranteed by all of the subsidiaries and are secured by a first priority lien on substantially all assets of the Company, including those in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Payable</w:t>
      </w:r>
    </w:p>
    <w:p>
      <w:pPr>
        <w:spacing w:after="0" w:line="22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On February 11, 2026, the Company, through its Mexican operations, entered into an unsecured loan agreement with Banco del Bajio (the “Mexico Bajio Loan”) in the amount of approximately $1,159,000 ($20,000,000 MXP) to fund working capital needs. The loan is to be paid in monthly installments over a five-year period and bears a fixed interest rate of 10.5% per annum. The balance of the Mexico Bajio Loan as of April 5, 2026, was $1,084,000.</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19"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Finance Lease Obligations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five-year extension of its land and building in Toluca, Mexico and reassessed its expectations to exercise one additional extension. As a result, the Company recognized an increase in the operating right-of-use assets and operating lease liabilities of $2,486,000 and an increase of its finance lease of $3,645,000.</w:t>
      </w:r>
    </w:p>
    <w:p>
      <w:pPr>
        <w:spacing w:after="0" w:line="176"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April 5, 2026, the Company had $4,532,000 outstanding under finance lease obligations for both property and machinery and equipment at its Sypris Technologies locations with maturities through 2036 and a weighted average interest rate of 13.2%.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Obligations</w:t>
      </w:r>
    </w:p>
    <w:p>
      <w:pPr>
        <w:spacing w:after="0" w:line="227"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April 5, 2026, the Company had $1,295,000 outstanding under equipment financing facilities, with a weighted average interest rate of 7.1% and payments due through 2031. Payments on the Company’s equipment financing obligations are due as follows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12 to 24 months</w:t>
            </w: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to 36 months</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36 to 48 months</w:t>
            </w: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to 60 months</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1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payments</w:t>
            </w: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9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equipment financing obligations</w:t>
            </w: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29"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The Company is organized into two business segments, Sypris Technologies and Sypris Electronics. Our Chief Executive Officer (CEO) serves as our Chief Operating Decision Maker (CODM) and is responsible for reviewing segment performance and making decisions regarding resource allocation. Our CODM evaluates each segment’s performance based on metrics such as net revenue, gross profit, operating (loss) income and other key financial indicators, guiding strategic decisions to align with company-wide goals. On a monthly basis, the CODM considers budget-to-actual variances for gross profit and operating (loss) income when making decisions about allocating capital to the segments. The segments are each managed separately because of the distinctions between the products, markets, customers, technologies, and workforce skills of the segments. Sypris Technologies generates revenue primarily from the sale of forged, machined, welded and heat-treated steel components primarily for the heavy commercial vehicle and high-pressure energy pipeline applications. Sypris Electronics provides circuit card and box build manufacturing, high reliability manufacturing, systems assembly and integration, design for manufacturability and design to specification work to customers in the market for aerospace and defense, communications and space electronics. There was no intersegment net revenue recognized for any year presented.</w:t>
      </w:r>
    </w:p>
    <w:p>
      <w:pPr>
        <w:spacing w:after="0" w:line="194"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includes the unallocated costs of its corporate office, including the employment costs of its senior management team and other corporate personnel, administrative costs and net corporate interest expense incurred at the corporate level under the caption “General, corporate and other” in the table below. Such unallocated costs include those for centralized information technology, finance, legal and human resources support teams, certain professional fees, director fees, corporate office rent, certain self-insurance costs and recoveries, software license fees and various other administrative expenses that are not allocated to our reportable segments. The unallocated assets include cash and cash equivalents maintained in its domestic treasury accounts and the net book value of corporate facilities and related information systems. The unallocated liabilities consist primarily of the related party notes payable. Domestic income taxes are calculated at an entity level and are not allocated to our reportable segments. Corporate capital expenditures and depreciation and amortization include items attributable to the unallocated fixed assets of the corporate office and related information systems.</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8"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presents financial information for the reportable segments of the Company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7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01"/>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w w:val="96"/>
              </w:rPr>
              <w:t>March 30,</w:t>
            </w:r>
          </w:p>
        </w:tc>
        <w:tc>
          <w:tcPr>
            <w:tcW w:w="100" w:type="dxa"/>
            <w:vAlign w:val="bottom"/>
          </w:tcPr>
          <w:p>
            <w:pPr>
              <w:spacing w:after="0"/>
              <w:rPr>
                <w:sz w:val="17"/>
                <w:szCs w:val="17"/>
                <w:color w:val="auto"/>
              </w:rPr>
            </w:pPr>
          </w:p>
        </w:tc>
      </w:tr>
      <w:tr>
        <w:trPr>
          <w:trHeight w:val="238"/>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from unaffiliated customers: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12,412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13,573</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15,935</w:t>
            </w:r>
          </w:p>
        </w:tc>
      </w:tr>
      <w:tr>
        <w:trPr>
          <w:trHeight w:val="263"/>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00" w:type="dxa"/>
            <w:vAlign w:val="bottom"/>
            <w:tcBorders>
              <w:bottom w:val="single" w:sz="8" w:color="CCEEFF"/>
            </w:tcBorders>
          </w:tcPr>
          <w:p>
            <w:pPr>
              <w:spacing w:after="0"/>
              <w:rPr>
                <w:sz w:val="22"/>
                <w:szCs w:val="22"/>
                <w:color w:val="auto"/>
              </w:rPr>
            </w:pPr>
          </w:p>
        </w:tc>
      </w:tr>
      <w:tr>
        <w:trPr>
          <w:trHeight w:val="197"/>
        </w:trPr>
        <w:tc>
          <w:tcPr>
            <w:tcW w:w="7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1,419</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tcPr>
          <w:p>
            <w:pPr>
              <w:spacing w:after="0"/>
              <w:rPr>
                <w:sz w:val="19"/>
                <w:szCs w:val="19"/>
                <w:color w:val="auto"/>
              </w:rPr>
            </w:pP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7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280" w:type="dxa"/>
            <w:vAlign w:val="bottom"/>
          </w:tcPr>
          <w:p>
            <w:pPr>
              <w:spacing w:after="0"/>
              <w:rPr>
                <w:sz w:val="19"/>
                <w:szCs w:val="19"/>
                <w:color w:val="auto"/>
              </w:rPr>
            </w:pP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7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28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7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280" w:type="dxa"/>
            <w:vAlign w:val="bottom"/>
          </w:tcPr>
          <w:p>
            <w:pPr>
              <w:spacing w:after="0"/>
              <w:rPr>
                <w:sz w:val="19"/>
                <w:szCs w:val="19"/>
                <w:color w:val="auto"/>
              </w:rPr>
            </w:pP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7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loss before taxes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28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73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580" w:right="259" w:bottom="1440" w:gutter="0" w:footer="0" w:header="0"/>
        </w:sectPr>
      </w:pPr>
    </w:p>
    <w:p>
      <w:pPr>
        <w:spacing w:after="0" w:line="210"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April 5,</w:t>
      </w:r>
    </w:p>
    <w:p>
      <w:pPr>
        <w:spacing w:after="0" w:line="3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14605</wp:posOffset>
            </wp:positionV>
            <wp:extent cx="9512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14605</wp:posOffset>
            </wp:positionV>
            <wp:extent cx="942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9240" w:space="720"/>
            <w:col w:w="1360"/>
          </w:cols>
          <w:pgMar w:left="320" w:top="580"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43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38,035</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3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8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Sypris Technologies</w:t>
            </w:r>
          </w:p>
        </w:tc>
        <w:tc>
          <w:tcPr>
            <w:tcW w:w="43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21,925</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Sypris Electronics</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corporate and other</w:t>
            </w:r>
          </w:p>
        </w:tc>
        <w:tc>
          <w:tcPr>
            <w:tcW w:w="3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8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2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0" w:right="259" w:bottom="1440" w:gutter="0" w:footer="0" w:header="0"/>
          <w:type w:val="continuous"/>
        </w:sectPr>
      </w:pPr>
    </w:p>
    <w:bookmarkStart w:id="16" w:name="page17"/>
    <w:bookmarkEnd w:id="16"/>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estimated warranty costs is recorded at the time of sale and periodically adjusted to reflect actual experience. The Company’s warranty liability, which is included in accrued liabilities in the accompanying consolidated balance sheets as of April 5, 2026 and December 31, 2025 was $717,000 and $738,000, respectively. The Company’s warranty expense for the three months ended April 5, 2026 and March 30, 2025 was not material.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bears insurance risk as a member of a group captive insurance entity for certain general liability, automobile and workers’ compensation insurance programs, a self-insured worker’s compensation program and a self-insured employee health program. The Company records estimated liabilities for its insurance programs based on information provided by the third-party plan administrators, historical claims experience, expected costs of claims incurred but not paid, and expected costs to settle unpaid claims. The Company monitors its estimated insurance-related liabilities on a quarterly basis. As facts change, it may become necessary to make adjustments that could be material to the Company’s consolidated results of operations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certain litigation and contract issues arising in the normal course of business. While the outcome of these matters cannot, at this time, be predicted in light of the uncertainties inherent therein, management does not expect that these matters will have a material adverse effect on the consolidated financial position or results of operations of the Company. Additionally, the Company believes its product liability insurance is adequate to cover all potential liability claims.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loss contingencies in accordance with U.S. GAAP. Estimated loss contingencies are accrued only if the loss is probable, and the amount of the loss can be reasonably estimated. With respect to a particular loss contingency, it may be probable that a loss has occurred, but the estimate of the loss is within a wide range or undeterminable. If the Company deems an amount within the range to be a better estimate than any other amount within the range, that amount will be accrued. However, if no amount within the range is a better estimate than any other amount, the minimum amount of the range is accrued.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various current and previously-owned facilities subject to a variety of environmental regulations. The Company has received certain indemnifications from either companies previously owning these facilities or from purchasers of those facilities. Additionally, certain property previously sold by the Company has been designated as a Brownfield Site and is under development by the purchaser. As of April 5, 2026 and December 31, 2025, no amounts were accrued for any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reduce manufacturing lead times, the Company enters into agreements with certain suppliers to purchase inventory based on the Company’s requirements. A significant portion of the Company’s purchase commitments arising from these agreements consists of firm and non-cancelable commitments. These purchase commitments totaled $22,005,000 as of April 5, 2026, of which $21,252,000 is for purchases to be made in 2026, and the balance in 2027.</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includes federal, state, local and foreign taxes. The Company’s effective tax rate varies from period to period due to the proportion of foreign and domestic pre-tax income expected to be generated by the Company. The Company provides for income taxes for its domestic operations at a statutory rate of 21% in 2026 and 2025 and for its foreign operations at a statutory rate of 30% in 2026 and 2025. Reconciling items between the federal statutory rate and the effective tax rate also include state income taxes, valuation allowances and certain other permanent differences.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liabilities or assets for the deferred tax consequences of temporary differences between the tax bases of assets or liabilities and their reported amounts in the financial statements in accordance with ASC 740, Income Taxes (ASC 740). These temporary differences will result in taxable or deductible amounts in future years when the reported amounts of assets or liabilities are recovered or settled. ASC 740 requires that a valuation allowance be established when it is more likely than not that all or a portion of a deferred tax asset will not be realized. The Company evaluates its deferred tax position on a quarterly basis and valuation allowances are provided as necessary. During this evaluation, the Company reviews its forecast of income in conjunction with other positive and negative evidence surrounding the realizability of its deferred tax assets to determine if a valuation allowance is needed. Based on its current forecast, the Company believes it will have sufficient future taxable income to realize the deferred tax assets recorded by its Mexican subsidiary.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the Company’s consideration of all positive and negative evidence, including future reversals of existing taxable temporary differences, projected future taxable income, tax-planning strategies, and results of recent operations, the Company has established a valuation allowance against all U.S. deferred tax assets. Until an appropriate level and characterization of profitability is attained, the Company expects to continue to maintain a valuation allowance on its net deferred tax assets related to future U.S. tax benefits.</w:t>
      </w:r>
    </w:p>
    <w:p>
      <w:pPr>
        <w:spacing w:after="0" w:line="180"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To the Company’s knowledge, the Internal Revenue Service (IRS) is not currently examining the Company’s U.S. income tax returns for 2022 through 2024, for which the statute has yet to expire.</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To the Company’s knowledge, Mexico’s Federal Tax Administration Service, Servicio de Administracion Tributaria’s (the “SAT”), is not currently examining the Company’s Mexican income tax returns for 2021 through 2025, for which the statute has yet to expire. In addition, open tax years related to state and other foreign jurisdictions remain subject to examination.</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details the components of pension (income) expense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736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736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4"/>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140" w:type="dxa"/>
            <w:vAlign w:val="bottom"/>
            <w:gridSpan w:val="2"/>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amortizations of actuarial loss</w:t>
            </w:r>
          </w:p>
        </w:tc>
        <w:tc>
          <w:tcPr>
            <w:tcW w:w="1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(179)</w:t>
            </w:r>
          </w:p>
        </w:tc>
      </w:tr>
      <w:tr>
        <w:trPr>
          <w:trHeight w:val="223"/>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net periodic benefit cost of the defined benefit pension plans incurred during the three-month periods ended April 5, 2026 and March 30, 2025 is included in other expense, net in the accompanying consolidated statements of operations.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right="80" w:firstLine="684"/>
        <w:spacing w:after="0" w:line="282" w:lineRule="auto"/>
        <w:rPr>
          <w:sz w:val="20"/>
          <w:szCs w:val="20"/>
          <w:color w:val="auto"/>
        </w:rPr>
      </w:pPr>
      <w:r>
        <w:rPr>
          <w:rFonts w:ascii="Times New Roman" w:cs="Times New Roman" w:eastAsia="Times New Roman" w:hAnsi="Times New Roman"/>
          <w:sz w:val="18"/>
          <w:szCs w:val="18"/>
          <w:color w:val="auto"/>
        </w:rPr>
        <w:t>The Company’s accumulated other comprehensive loss consists of employee benefit related adjustments and foreign currency translation adjustments.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 consisted of the following (in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related adjustments – U.S.,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(6,747)</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related adjustments – Mexico, net of tax</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Cash, accounts receivable, accounts payable and accrued liabilities are reflected in the consolidated financial statements at their carrying amount which approximates fair value because of the short-term maturity of those instruments. The carrying amount of debt outstanding as of April 5, 2026 approximates fair value, and is based upon quoted prices for similar assets and liabilities in active markets, or other inputs that are observable for the asset or liability, either directly or indirectly, for substantially the full term of the financial instruments (Level 2).</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80"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products and engineering, design, and manufacturing services for a variety of critical infrastructure sectors, including energy, space, communications, defense, transport, chemical, and water. Sypris serves its customers globally through its operations located in North America. We produce a wide range of manufactured products, often under multi-year, sole-source contracts.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organized into two business segments, Sypris Technologies and Sypris Electronics. Sypris Technologies, which is comprised of Sypris Technologies, Inc. and its subsidiaries, generates revenue primarily from the sale of forged, machined, welded and heat-treated steel components primarily for the heavy commercial vehicle and high-pressure energy pipeline applications. Sypris Electronics, which is comprised of Sypris Electronics, LLC, generates revenue primarily through circuit card and full “box build” manufacturing, high reliability manufacturing, systems assembly and integration, design for manufacturability and design to specification work.</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focus on those markets where we believe we have the expertise, qualifications and leadership position to sustain a competitive advantage. We target our resources to support the needs of industry participants that embrace technological innovation and flexibility, coupled with multi-year contractual relationships, as a strategic component of their supply chain management. These contracts, many of which are sole-source by part number, have historically created opportunities to invest in leading-edge processes or technologies to help our customers remain competitive. The productivity and innovation that can result from such investments helps to differentiate us from our competition when it comes to cost, quality, reliability and customer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are impacted by global economic conditions, including inflationary increases of certain raw materials, as well as logistics, tariffs, transportation, utilities and labor costs, supply chain constraints and increased interest rates. While we have taken pricing actions and implemented transformation initiatives that we expect to improve productivity and offset these cost increases, we expect supply chain pressures and inflationary cost increases to continue throughout 2026, which may continue thereafter and could negatively impact our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Sypris Technologies Outlook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North American Class 8 commercial vehicle market experienced a downturn in 2025, in addition to the automotive and sport utility vehicle markets also served by Sypris Technologies. New heavy-duty truck demand has historically been cyclical and is particularly sensitive to the industrial sector of the economy, which generates a significant portion of the freight tonnage hauled by commercial vehicles. During 2025, production of Class 8 trucks in North America decreased 24% from 2024. According to industry publications, the outlook for 2026 and 2027 is forecasting a slight increase in production over 2025, before increasing 25% in 2028. We believe that the market diversification Sypris Technologies has accomplished over recent years by adding new programs in the automotive, sport-utility and off-highway markets has benefited and will continue to benefit the Company as the demand cycles for our products in these markets differs from the Class 8 commercial vehicle market, thereby reducing volatility in our revenue profile.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oil and gas markets served by our Tube Turns® brand of engineered products continues to be shaped largely by geopolitical factors, macroeconomic variables such as high interest rates and rising material costs, evolving policies and regulations and the emergence of new technologies. Sales in this market are dependent on, among other things, the level of worldwide oil and natural gas demand, the price of crude oil and natural gas and capital spending by exploration and production companies and drilling contractors. The conflicts in the Middle East, including military hostilities between Israel and Hamas and the U.S., Israel and Iran, the war between Russia and Ukraine and inflationary pressures have also led to disruption, instability and volatility in global markets and industries that could negatively impact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continue to pursue new business in a wide variety of markets from light automotive to new pressure vessel and pipeline applications to achieve a more balanced portfolio across our customers, markets and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Sypris Electronics Outlook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Ongoing demand in the electronic circuit card assembly industry across multiple manufacturing sectors continues to create shortages and extended lead times. In some instances, waiting times for certain components approach a year or more. We factor supplier-provided lead times into internal planning schedules and new customer quotations. From time to time, we encounter part obsolescence which requires us to identify an alternate part suitable for use. We continue to work with our customers on strategies to mitigate any adverse impact upon our ability to service their requirements. Factors which arise after the placement of the customer’s order may cause us to miss projected delivery dates. Inflationary costs are expected to continue through 2026.</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electronic circuit card assembly industry is highly competitive, and demand can be volatile from period to period. Increasing demand for advanced technologies, supply chain diversification, and continued strong government defense spending along with geopolitical factors, including ongoing U.S.-China trade tensions and regulatory shifts, are prompting companies to adopt supply chain resilience strategies, such as "friendshoring", nearshoring and onshoring that benefit domestic suppliers. Additionally, OEMs are expected to continue the trend of outsourcing lower-level electronic assemblies, while focusing on their core competencies of design and system integration. However, challenges such as labor cost fluctuations, raw material constraints, and evolving trade policies may impact operational efficiency and cost structures. Overall, the sector is positioned for growth, with companies focusing on technological innovation, strategic partnerships, and supply chain optimization to maintain competitiveness in a rapidly evolving defense and aerospace market. During 2024, 2025 and the first quarter of 2026, we announced new program awards and releases for Sypris Electronics, with certain programs continuing into 2028. In addition to contract awards from Department of War (“DoW”) prime contractors related to weapons systems, electronic warfare and infrared countermeasures in our traditional aerospace and defense markets, we have also been awarded subcontracts for manufacturing services to the communication and navigation markets, which require our advanced capabilities for delivering products for complex, high cost of failure platforms.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do not serve as a prime contractor to the U.S. government, we serve as a subcontractor on various U.S. government programs. Funding for U.S. Government programs is subject to a variety of factors that can affect our business, including the U.S. presidential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National Defense Authorization Act (NDAA) for FY2026 was signed into law on December 18, 2025. This legislation authorizes $901 billion for defense spending. On February 3, 2026, the Consolidated Appropriations Act of 2026 was passed, which further extended government funding through September 30, 2026. This legislation provides $839.2 billion in funding for the DoW representing an $8.4 billion increase over the topline in the President’s DoW Budget Request. The One Big Beautiful Bill Act (the Tax Act) was signed by the President on July 4, 2025. The bill provides more than $150 billion in mandatory funding for the DoW available until September 30, 2029.</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3, 2026, the Administration released the FY 2027 Defense topline request. The FY 2027 proposal seeks a historic $1.5 trillion defense budget, driven by a large discretionary base request and an additional $350 billion of mandatory funding through reconciliation. The approach is reliant upon Congress to pass a second reconciliation bill. We will continue to monitor the FY 2027 budget cycle as additional information is released.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the Administration indicating their desire for a significant increase in defense spending in FY 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potentially taking action based on those assessments. Those actions remain uncertain and could result in impacts to both our current and future business prospects and financial performance. The impact on demand for our products and services and our business are difficult to predict.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also the discussion of Congressional budgetary constraints or reallocations risks within “Item 1A, Risk Factors” included in our 2025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compares our segment and consolidated results for the first quarter of 2026 to the first quarter of 2025. It presents the results for each period, the change in those results from 2025 to 2026 in both dollars and as a percentage, as well as the results for each period as a percentage of net revenue.</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two columns in the table show the absolute results for each period presented.</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columns entitled “Year Over Year Change” and “Year Over Year Percentage Change” show the change in results, both in dollars and percentages. These two columns show favorable changes as positive and unfavorable changes as negative. For example, when our net revenue increases from one period to the next, that change is shown as a positive number in both columns. Conversely, when expenses increase from one period to the next, that change is shown as a negative number in both columns.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two columns in the table show the results for each period as a percentage of net revenue. In these two columns, the cost of sales and gross profit for each segment are given as a percentage of that segment’s net revenue. These amounts are shown in italics.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used in the table, “NM” means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5, 2026 Compared to Three Months Ended March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Year Over</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 Over</w:t>
            </w:r>
          </w:p>
        </w:tc>
        <w:tc>
          <w:tcPr>
            <w:tcW w:w="15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5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Results as Percentage of</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5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Net Revenue for the Three</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5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Favorable</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Favorable</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8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110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(Unfavorable)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(Unfavorable)</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 data)</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13,399</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(2,536)</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10,993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88.6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84.5</w:t>
            </w: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13,997</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104.5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92.1</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11.4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15.5</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(1,857)</w:t>
            </w:r>
          </w:p>
        </w:tc>
        <w:tc>
          <w:tcPr>
            <w:tcW w:w="15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(4.5)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7.9</w:t>
            </w:r>
          </w:p>
        </w:tc>
        <w:tc>
          <w:tcPr>
            <w:tcW w:w="0" w:type="dxa"/>
            <w:vAlign w:val="bottom"/>
          </w:tcPr>
          <w:p>
            <w:pPr>
              <w:spacing w:after="0"/>
              <w:rPr>
                <w:sz w:val="1"/>
                <w:szCs w:val="1"/>
                <w:color w:val="auto"/>
              </w:rPr>
            </w:pPr>
          </w:p>
        </w:tc>
      </w:tr>
      <w:tr>
        <w:trPr>
          <w:trHeight w:val="210"/>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(2,670.8)</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20" w:type="dxa"/>
            <w:vAlign w:val="bottom"/>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(4,272)</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(3,675)</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(615.6)</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5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(359.0)%</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Sypris Technologies derives its revenue from the sale of forged and finished steel components and subassemblies and high-pressure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closures and other fabricated products. Net revenue for Sypris Technologies decreased 8.6%, or $1.2 million, for the first quarter of 2026 compared to the first quarter of 2025, primarily due to the cyclical decline in the commercial vehicle market partially offset by a $1.8 million increase in energy product sales within the quarter.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Sypris Electronics derives its revenue primarily from circuit card and full “box build” manufacturing, high reliability manufacturing and systems assembly and integration. Net revenue for Sypris Electronics decreased $2.5 million to $13.4 million in the first quarter of 2026 compared to $15.9 million in the first quarter of 2025. The net revenue decrease for the period was primarily attributable to material availability in addition to customer design changes on certain new programs, which pushed out delivery dates.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Sypris Technologies’ gross profit decreased $0.7 million to $1.4 million in the first quarter of 2026 as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a result of lower volumes in the commercial vehicle market and the related loss of fixed overhead absorption and an unfavorable foreign exchange rate for our Mexican subsidiary. This was partially offset by a favorable mix of higher margin energy product sales. Gross margin for the first quarter of 2026 was 11.4% as compared to 15.5% in the first quarter of 2025.</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Sypris Electronics’ gross profit decreased $1.9 million to a loss of $0.6 million in the first quarter of 2026 as compared to gross profit of $1.3 million for the first quarter of 2025. The decrease in gross profit was primarily a result of lower volumes and higher scrap incurred during the period, which included expired material resulting from program delays. Additionally, delays of certain customer deliveries has limited our ability to ramp up production to the levels anticipated and resulted in increased costs and decreased operational efficiency. Furthermore, the prior period results included additional gross profit of $0.3 million for a request for equitable adjustment (“REA”) approved during the during the first quarter of 2025 to offset certain additional costs for scope modifications on a new contract during 2024. While the order backlog for Sypris Electronics supports a stable revenue rate during the balance of 2026, material availability challenges are expected to continue. Gross margin for the first quarter of 2026 was (4.5)% as compared to 7.9% in the first quarter of 2025. Gross margins are forecasted to improve as production volumes increase throughout the remainder of 2026.</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$0.9 million to $4.4 million in the first quarter of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$3.5 million for the same period in 2025 primarily as a result of higher medical claims experience during the current period. The Company experienced an increase in the number of high-cost medical claims during the first quarter of 2026 as compared to a favorable experience in the prior year. The Company is self-insured for medical claims with stop loss coverage for claims over $0.3 million. Selling, general and administrative expense increased as a percentage of revenue to 17.1% for the first quarter of 2026 from 11.8% in the prior year comparable period.</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income tax expense for the three months ended April 5, 2026 and March 30, 2025 consists primarily of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state and local income taxes on domestic operations and foreign income taxes of its Mexican subsidiary.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determined separately for each tax jurisdiction in which we conduct our operations or otherwise incur taxable income or losses. The Company evaluates its deferred tax position on a quarterly basis and valuation allowances are provided as necessary. During this evaluation, the Company reviews its forecast of income in conjunction with other positive and negative evidence surrounding the realizability of its deferred tax assets to determine if a valuation allowance is needed. Based on its current forecast, the Company has established a valuation allowance against all U.S. deferred tax assets. Until an appropriate level and characterization of profitability is attained, the Company expects to continue to maintain a valuation allowance on its net deferred tax assets related to future U.S. tax benefits. If we determine that we would be able to realize our deferred tax assets in the future in excess of the net recorded amount, an adjustment to reduce the valuation allowance would increase net income in the period that such determination is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reflected in the consolidated financial statements, the Company has an accumulated deficit as of April 5, 2026, a net loss for the quarter ended April 5, 2026 and the year ended December 31, 2025, as well as negative cash flow from operating activities for the quarter ended April 5, 2026 and the year ended December 31, 2025. The Company’s net inventory increased significantly in 2023, primarily related to contracts with Sypris Electronics’ aerospace and defense customers. Shipments to customers on certain of these contracts were delayed beyond the initial delivery dates, which negatively impacted the cycle time to convert inventory to cash. Additionally, the Company experienced a significant drop in volumes within the Sypris Technologies business attributable to the cyclical decline in the commercial vehicle market in 2025 and into 2026, which led to a corresponding decrease in gross profit. As a result, the Company experienced a liquidity shortfall beginning in the fourth quarter of 2023 and at various times during 2024, 2025 and into 2026. The shipment delays within Sypris Electronics also contributed to an increase in trade payable balances with certain suppliers during 2023 and 2024. The Company successfully negotiated amended payment and other terms on the past due balances with certain suppliers and is continuing to work with suppliers to improve terms and maintain consistency in its supply chain relationships.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received the benefit of additional loans of $3.0 million during the year ended December 31, 2025 from Gill Family Capital Management, Inc. (“GFCM”) to help the Company manage its liquidity. This additional $3 million loaned to the Company by GFCM in 2025 was approved by the Audit Committee and provided the Company necessary liquidity. Additionally, during the first quarter of 2026, the Company and GFCM amended the Note to extend the maturity dates for $2.0 million of the obligation to April 1, 2027, $2.0 million to April 1, 2028, $5.0 million to April 1, 2029 and $3.0 million to April 1, 2030 (see Note 10 to the consolidated financial statements in this Quarterly Report on Form 10-Q).</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during the first quarter of 2026, the Company, through its Mexican operations, entered into an unsecured loan agreement with Banco del Bajio (the “Mexico Bajio Loan”) in the amount of approximately $1.2 million to fund working capital needs (see Note 10 to the consolidated financial statements in this Quarterly Report 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service our current liabilities will require a significant amount of cash. Management has evaluated our ability to generate this cash to meet our obligations for the next twelve months. Our primary sources of funds to meet our liquidity and capital requirements include cash on hand, funds generated through continued revenue growth from the Company’s consolidated operations and reductions in the Company’s investment in working capital. Based upon our current forecast, we believe that we will have sufficient liquidity to finance our operations for the next twelve months.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the assumptions underlying our current forecast are reasonable, management is also prepared to implement contingency plans that include other cost reduction initiatives to improve profitability and cash flow, or management can take additional steps such as adjusting the timing and amount of certain operating expenses as well as capital expenditures or the issuance of new debt. If we are unable to achieve our forecasted revenue, or if our costs are higher than expected, we may be required to revise our plans to provide for additional cost-cutting measures, seek additional financing or to consider other strategic alternatives. We may not be able to secure additional financing on favorable terms, if at all.</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Balance. </w:t>
      </w:r>
      <w:r>
        <w:rPr>
          <w:rFonts w:ascii="Times New Roman" w:cs="Times New Roman" w:eastAsia="Times New Roman" w:hAnsi="Times New Roman"/>
          <w:sz w:val="18"/>
          <w:szCs w:val="18"/>
          <w:color w:val="auto"/>
        </w:rPr>
        <w:t>As of April 5, 2026, we had approximately $4.8 million of cash and cash equivalents, of which $1.2 million was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outside of the U.S. that, if repatriated, could result in withholding taxes. We expect existing cash and cash flows from operations to continue to be sufficient to fund our operating activities and cash commitments for investing and financing activities, such as capital expenditures, for at least the next twelve months. Significant changes from our current forecasts, including, but not limited to: (i) meaningful shortfalls in our projected revenues,</w:t>
      </w:r>
    </w:p>
    <w:p>
      <w:pPr>
        <w:spacing w:after="0" w:line="1" w:lineRule="exact"/>
        <w:rPr>
          <w:sz w:val="20"/>
          <w:szCs w:val="20"/>
          <w:color w:val="auto"/>
        </w:rPr>
      </w:pPr>
    </w:p>
    <w:p>
      <w:pPr>
        <w:jc w:val="both"/>
        <w:ind w:firstLine="8"/>
        <w:spacing w:after="0" w:line="253" w:lineRule="auto"/>
        <w:tabs>
          <w:tab w:leader="none" w:pos="2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or expenses, and/or (iii) operating difficulties which cause unexpected delays in scheduled shipments, could require us to seek additional funding or force us to make further reductions in spending, extend payment terms with suppliers, liquidate assets where possible and/or suspend or curtail planned programs. Any of these actions could materially harm our business, results of operations and future prospects. Additional financing may not be available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Gill Family Capital Management Note</w:t>
      </w:r>
      <w:r>
        <w:rPr>
          <w:rFonts w:ascii="Times New Roman" w:cs="Times New Roman" w:eastAsia="Times New Roman" w:hAnsi="Times New Roman"/>
          <w:sz w:val="18"/>
          <w:szCs w:val="18"/>
          <w:color w:val="auto"/>
        </w:rPr>
        <w:t>. The Company has received the benefit of cash infusions from GFCM in the form of secured promissory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obligations totaling $12.0 million in principal as of April 5, 2026 and December 31, 2025 (the “Note”). GFCM is an entity controlled by the Company’s Chairman, President and Chief Executive Officer, Jeffrey T. Gill and one of our directors, R. Scott Gill. GFCM, Jeffrey T. Gill and R. Scott Gill are significant beneficial stockholders of the Company.</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April 5, 2026, our principal commitment under the Note was $12.0 million, with $2.0 million due on April 1, 2027, $2.0 million on April 1, 2028, $5.0 million due on April 1, 2029 and the balance of $3.0 million due on April 1, 2030. The Note allows for a deferral of payment for up to 100% of the interest due on the Note to April 1, 2027. Interest on the Note is reset on April 1 of each year, at the greater of 8.0% or 500 basis points above the five-year Treasury note average during the preceding 90-day period, in each case, payable quarterly, unless the deferral option is elected.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On February 11, 2026, the Company, through its Mexican operations, entered into Mexico Bajio Loan in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 million to fund working capital needs. The loan is to be paid in monthly installments over a five-year period and bears a fixed interest rate of 10.5% per annum. The balance of the loan as of April 5, 2026, was $1.1 million.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Finance Lease Obligations. </w:t>
      </w:r>
      <w:r>
        <w:rPr>
          <w:rFonts w:ascii="Times New Roman" w:cs="Times New Roman" w:eastAsia="Times New Roman" w:hAnsi="Times New Roman"/>
          <w:sz w:val="18"/>
          <w:szCs w:val="18"/>
          <w:color w:val="auto"/>
        </w:rPr>
        <w:t>As of April 5, 2026, the Company had $4.5 million outstanding under finance lease obligations for both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machinery and equipment with maturities through 2036 and a weighted average interest rate of 13.2%.</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Equipment Financing Obligations. </w:t>
      </w:r>
      <w:r>
        <w:rPr>
          <w:rFonts w:ascii="Times New Roman" w:cs="Times New Roman" w:eastAsia="Times New Roman" w:hAnsi="Times New Roman"/>
          <w:sz w:val="18"/>
          <w:szCs w:val="18"/>
          <w:color w:val="auto"/>
        </w:rPr>
        <w:t>As of April 5, 2026, the Company had $1.3 million outstanding under equipment financing facilities,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due through 2031, and a weighted average interest rate of 7.1%.</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We had purchase commitments totaling approximately $22.0 million as of April 5, 2026, primarily for inventory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equipment.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in operating activities was $2.3 million in the first quarter of 2026, as compared to $5.5 million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2025. The aggregate decrease in accounts receivable in 2026 resulted in cash provided of $0.3 million primarily as a result of the timing of receipts. The increase in inventory in 2026 was primarily as a result of increased inventory within Sypris Technologies to support higher volumes expected in the second half of 2026 and resulted in use of cash of $0.4 million. Accrued and other liabilities increased during the period and provided $0.9 million in the first quarter as a result of prepayments from customers with Sypris Electronics to fund inventory purchases, which was recorded as contract liabilities. Accounts payable decreased during the first quarter of 2026 as a result of timing of payments to our suppliers, resulting in a use of cash of $0.3 million.</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comprised of capital expenditures of $0.2 million for the first quarter of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negligible amount for the first quarter of 2025.</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$0.7 million for the first quarter of 2026 and was comprised of proceeds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Mexico Bajio Loan of $1.1 million, partially offset by capital lease, equipment financing obligation and debt payments of $0.4 million and $0.1 million for minimum statutory tax withholdings on stock-based compensation. Net cash provided by financing activities was $2.5 million for the first quarter of 2025 and was comprised of proceeds from the Note of $3.0 million, partially offset by capital lease and equipment financing obligation payments of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See the information concerning our critical accounting policies included under Item 7, “Management’s Discussion and Analysis of Financial Condition and Results of Operation - Critical Accounting Policies and Estimates” in our Annual Report on Form 10-K for the fiscal year ended December 31, 2025. There have been no significant changes in our critical accounting policies during the three months ended April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and our other oral or written communications, may contain “forward-looking” statements. These statements may include our expectations or projections about the future of our business, industries, business strategies, prospects, potential acquisitions, liquidity, financial condition or financial results and our views about developments beyond our control, including domestic or global economic conditions, government spending, industry trends and market developments. These statements are based on management’s views and assumptions at the time originally made, and, except as required by law, we undertake no obligation to update these statements, even if, for example, they remain available on our website after those views and assumptions have changed. There can be no assurance that our expectations, projections or views will come to pass, and undue reliance should not be placed on these forward-looking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number of significant factors could materially affect our specific business operations and cause our performance to differ materially from any future results projected or implied by our prior statements. Many of these factors are identified in connection with the more specific descriptions contained throughout this report. Other factors which could also materially affect such future results currently include: the fees, costs and supply of, or access to, debt, equity capital, or other sources of liquidity; the termination or non-renewal of existing contracts by customers; our failure to achieve and maintain profitability on a timely basis by steadily increasing our revenues from profitable contracts with a diversified group of customers, which would cause us to continue to use existing cash resources or require us to sell assets to fund operating losses; volatility of our customers’ forecasts and our contractual obligations to meet current scheduling demands and production levels, which may negatively impact our operational capacity and our effectiveness to integrate new customers or suppliers, and in turn cause increases in our inventory and working capital levels; cost, quality and availability or lead times of raw materials such as steel, component parts (especially electronic components), natural gas or utilities including increased cost relating to inflation, as well as the impact of proposed or imposed tariffs by the U.S. government on imports to the U.S. and/or the imposition of retaliatory tariffs by foreign countries; our reliance on a few key customers, third party vendors and sub-suppliers; significant delays or reductions due to a prolonged continuing resolution or U.S. government shutdown reducing the spending on products and services that Sypris Electronics provides; risks of foreign operations, including foreign currency exchange rate risk exposure, which could impact our operating results; the cost, quality, timeliness, efficiency and yield of our operations and capital investments, including the impact of inflation, tariffs, product recalls or related liabilities, employee training, working capital, production schedules, cycle times, scrap rates, injuries, wages, overtime costs, freight or expediting costs; inventory valuation risks including excessive or obsolescent valuations or price erosions of raw materials or component parts on hand or other potential impairments, non-recoverability or write-offs of assets or deferred costs; our failure to successfully complete final contract negotiations with regard to our announced contract “orders”, “wins” or “awards”; our ability to maintain compliance with the Nasdaq listing standards, including without limitation minimum closing bid price and stockholders’ equity; our failure to successfully win new business or develop new or improved products or new markets for our products; war, geopolitical conflict, terrorism, or political uncertainty, or disruptions resulting from military hostilities between Russia and Ukraine, Israel and Hamas, and the U.S., Israel and Iran, or other tensions in the Middle East, including arising out of international sanctions, foreign currency fluctuations and other economic impacts; adverse impacts of new technologies or other competitive pressures which increase our costs or erode our margins; the costs and supply of insurance on acceptable terms and with adequate coverage; unanticipated or uninsured product liability claims, disasters, public health crises, losses or business risks; breakdowns, relocations or major repairs of machinery and equipment, especially in our Toluca Plant; the costs of compliance with our auditing, regulatory or contractual obligations; pension valuation, health care or other benefit costs; dependence on, retention or recruitment of key employees and highly skilled personnel and distribution of our human capital; our reliance on revenues from customers in the oil and gas and automotive markets, with increasing consumer pressure for reductions in environmental impacts attributed to greenhouse gas emissions and increased vehicle fuel economy; labor relations; strikes; union negotiations; disputes or litigation involving governmental, supplier, customer, employee, creditor, stockholder, premises liability, personal injury, product liability, warranty or environmental claims; failure to adequately insure or to identify product liability, environmental or other insurable risks; costs associated with environmental or other claims relating to properties previously owned; our inability to patent or otherwise protect our inventions or other intellectual property rights from potential competitors or fully exploit such rights which could materially affect our ability to compete in our chosen markets; changes in licenses, security clearances, or other legal rights to operate, manage our work force or import and export as needed; cybersecurity threats and disruptions, including ransomware attacks on our systems and the systems of third-party vendors and other parties with which we conduct business, all of which may become more pronounced in the event of geopolitical conflicts and other uncertainties, such as the conflict in Ukraine; risks related to owning our common stock, including increased volatility; possible public policy response to a public health emergency, including U.S. or foreign government legislation or restrictions that may impact our operations or supply chain; or unknown risks and uncertainties. and the risk factors disclosed in Item 1A of our Annual Report on Form 10-K for the fiscal year ended December 31, 2025.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thus are not required to provide the quantitative and qualitative disclosures about market risk specified in Item 305 of Regulation S-K.</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jc w:val="both"/>
        <w:ind w:firstLine="656"/>
        <w:spacing w:after="0" w:line="261" w:lineRule="auto"/>
        <w:tabs>
          <w:tab w:leader="none" w:pos="8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Based on the evaluation of our disclosure controls and procedures (as defined in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Rules 13a-15(e) or 15d-15(e)) required by Securities Exchange Act Rules 13a-15(b) or 15d-15(b), our Principal Executive Officer and our Principal Financial Officer have concluded that as of the end of the period covered by this report, our disclosure controls and procedures were effective.</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controls</w:t>
      </w:r>
      <w:r>
        <w:rPr>
          <w:rFonts w:ascii="Times New Roman" w:cs="Times New Roman" w:eastAsia="Times New Roman" w:hAnsi="Times New Roman"/>
          <w:sz w:val="18"/>
          <w:szCs w:val="18"/>
          <w:color w:val="auto"/>
        </w:rPr>
        <w:t>. There were no changes in our internal control over financial reporting that occurred during our most recent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that have materially affected, or are reasonably likely to materially affect, our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Groundwater and other contamination has occurred at certain of our current and former facilities during the operation of those facilities by their former owners, and this contamination may occur at future facilities we operate or acquire. There is no assurance that environmental indemnification agreements we have secured from the former owners of certain of these properties will be adequate to protect us from liability. No administrative or judicial proceedings with respect to these or any other environmental regulations or conditions are pending against the Company or known by the Company to be contemplated by government authorities.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other legal proceedings and claims that have not been fully resolved and that have arisen in the ordinary course of business. In the opinion of management, there was not at least a reasonable possibility the Company may have incurred a material loss, or a material loss in excess of a recorded accrual, with respect to loss contingencies for these other asserted legal and other claims. However, the outcome of legal proceedings and claims brought against the Company is subject to significant uncertainty. In addition, there may be other potential claims, liabilities, materials or design defects, or other customer complaints that have not been asserted, but which could adversely impact us in the future. Therefore, although management considers the likelihood of such an outcome to be remote, if one or more of these other legal matters or potential matters were resolved against the Company in a reporting period for amounts in excess of management’s expectations, the Company’s consolidated financial statements for that reporting period could be materially adversely affected.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12 to the consolidated financial statements in this Quarterly Report on Form 10-Q is incorporated by reference into this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regarding risk factors appears in Part I — Item 2, “Management’s Discussion and Analysis of Financial Condition and Results of Operations — Forward-Looking Statements,” in this Quarterly Report on Form 10-Q, and in Part I — Item 1A, “Risk Factors,” in our Annual Report on Form 10-K for the fiscal year ended December 31, 2025. There have been no material changes during the fiscal quarter from the risk factors disclosed in our Annual Report on Form 10-K.</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that were repurchased by the Company – all from its current employees for withholding tax purposes – during the first quarter ended April 5,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a Part of</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29"/>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9"/>
                <w:szCs w:val="19"/>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Purchased (a)</w:t>
            </w: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1/1/2026 – 2/1/2026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2/2/2026 – 3/1/2026</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3/2/2026 – 4/5/2026</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38,470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includes shares of stock withheld for the payment of withholding taxes upon the vesting of restricted stock. Common shares withheld to satisfy tax withholding obligations were immediately cancelled.</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April 5,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17"/>
                <w:szCs w:val="17"/>
                <w:color w:val="auto"/>
              </w:rPr>
            </w:pPr>
          </w:p>
        </w:tc>
        <w:tc>
          <w:tcPr>
            <w:tcW w:w="100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Promissory Note between Gill Family Capital Management, Inc., Sypris Solutions, Inc., Sypris Technologies, Inc.,</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Sypris Electronics, LLC, Sypris Technologies Marion, LLC, Sypris Technologies Mexican Holdings, LLC, Sypris Technologies Northern,</w:t>
              </w:r>
            </w:hyperlink>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 Sypris Technologies Southern, Inc. and Sypris Technologies International, Inc. dated as of, dated January 12, 2026 (incorporated by</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reference to Exhibit 10.1 to the Company’s Form 8-K filed on January 14, 2026 (Commission File No. 000-24020)).</w:t>
              </w:r>
            </w:hyperlink>
          </w:p>
        </w:tc>
      </w:tr>
      <w:tr>
        <w:trPr>
          <w:trHeight w:val="412"/>
        </w:trPr>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31(i)-1</w:t>
            </w:r>
          </w:p>
        </w:tc>
        <w:tc>
          <w:tcPr>
            <w:tcW w:w="480" w:type="dxa"/>
            <w:vAlign w:val="bottom"/>
          </w:tcPr>
          <w:p>
            <w:pPr>
              <w:spacing w:after="0"/>
              <w:rPr>
                <w:sz w:val="24"/>
                <w:szCs w:val="24"/>
                <w:color w:val="auto"/>
              </w:rPr>
            </w:pPr>
          </w:p>
        </w:tc>
        <w:tc>
          <w:tcPr>
            <w:tcW w:w="83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Principal Executive Officer certification pursuant to Section 302 of Sarbanes - Oxley Act of 2002.</w:t>
            </w:r>
          </w:p>
        </w:tc>
        <w:tc>
          <w:tcPr>
            <w:tcW w:w="1640" w:type="dxa"/>
            <w:vAlign w:val="bottom"/>
            <w:gridSpan w:val="2"/>
          </w:tcPr>
          <w:p>
            <w:pPr>
              <w:spacing w:after="0"/>
              <w:rPr>
                <w:sz w:val="24"/>
                <w:szCs w:val="24"/>
                <w:color w:val="auto"/>
              </w:rPr>
            </w:pPr>
          </w:p>
        </w:tc>
      </w:tr>
      <w:tr>
        <w:trPr>
          <w:trHeight w:val="412"/>
        </w:trPr>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31(i)-2</w:t>
            </w:r>
          </w:p>
        </w:tc>
        <w:tc>
          <w:tcPr>
            <w:tcW w:w="480" w:type="dxa"/>
            <w:vAlign w:val="bottom"/>
          </w:tcPr>
          <w:p>
            <w:pPr>
              <w:spacing w:after="0"/>
              <w:rPr>
                <w:sz w:val="24"/>
                <w:szCs w:val="24"/>
                <w:color w:val="auto"/>
              </w:rPr>
            </w:pPr>
          </w:p>
        </w:tc>
        <w:tc>
          <w:tcPr>
            <w:tcW w:w="70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Principal Financial Officer certification pursuant to Section 302 of Sarbanes - 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3"/>
          </w:tcPr>
          <w:p>
            <w:pPr>
              <w:spacing w:after="0"/>
              <w:rPr>
                <w:sz w:val="24"/>
                <w:szCs w:val="24"/>
                <w:color w:val="auto"/>
              </w:rPr>
            </w:pPr>
          </w:p>
        </w:tc>
      </w:tr>
    </w:tbl>
    <w:p>
      <w:pPr>
        <w:spacing w:after="0" w:line="225" w:lineRule="exact"/>
        <w:rPr>
          <w:sz w:val="20"/>
          <w:szCs w:val="20"/>
          <w:color w:val="auto"/>
        </w:rPr>
      </w:pPr>
    </w:p>
    <w:p>
      <w:pPr>
        <w:ind w:left="1220" w:hanging="965"/>
        <w:spacing w:after="0" w:line="282"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Principal Executive Officer and Principal Financial Officer certification pursuant to 18 U.S.C. Section 1350, as adopted pursuant to Section 906 of the Sarbanes - Oxley Act of 2002.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101.CAL</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101.LAB</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101.PRE</w:t>
            </w:r>
          </w:p>
        </w:tc>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5540" w:right="3500" w:hanging="5330"/>
        <w:spacing w:after="0" w:line="532" w:lineRule="auto"/>
        <w:tabs>
          <w:tab w:leader="none" w:pos="12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SYPRIS SOLUTIONS, INC.</w:t>
            </w:r>
          </w:p>
        </w:tc>
      </w:tr>
      <w:tr>
        <w:trPr>
          <w:trHeight w:val="234"/>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May 19, 2026</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T. Gill</w:t>
            </w:r>
          </w:p>
        </w:tc>
      </w:tr>
      <w:tr>
        <w:trPr>
          <w:trHeight w:val="191"/>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(Jeffrey T. Gill)</w:t>
            </w: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&amp; Chief Executive Officer</w:t>
            </w:r>
          </w:p>
        </w:tc>
      </w:tr>
      <w:tr>
        <w:trPr>
          <w:trHeight w:val="234"/>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May 19, 2026</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R. Eckert</w:t>
            </w:r>
          </w:p>
        </w:tc>
      </w:tr>
      <w:tr>
        <w:trPr>
          <w:trHeight w:val="211"/>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(Rebecca R. Eckert)</w:t>
            </w:r>
          </w:p>
        </w:tc>
      </w:tr>
    </w:tbl>
    <w:p>
      <w:pPr>
        <w:ind w:left="566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576"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31(i).1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T. Gill,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Sypris Solutions,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1460" w:val="left"/>
          <w:tab w:leader="none" w:pos="6180" w:val="left"/>
          <w:tab w:leader="none" w:pos="8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T.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91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Jeffrey T. Gill</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31(i).2</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R. Eckert,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Sypris Solutions,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1460" w:val="left"/>
          <w:tab w:leader="none" w:pos="6180" w:val="left"/>
          <w:tab w:leader="none" w:pos="82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R.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91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Rebecca R. Eckert</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Vice President &amp; Chief Accounting Officer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Sypris Solutions, Inc. (the Company) on Form 10-Q for the period ending April 5, 2026 as filed with the Securities and Exchange Commission on the date hereof (the Report), each of the undersigned hereby certifies, pursuant to 18 U.S.C. Sec. 1350, as adopted pursuant to Sec. 906 of the Sarbanes-Oxley Act of 2002, in his capacity as an officer of Sypris Solutions, Inc., that to his knowledge:</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(15 U.S.C. 78m);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May 19, 2026</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T. Gill</w:t>
            </w:r>
          </w:p>
        </w:tc>
      </w:tr>
      <w:tr>
        <w:trPr>
          <w:trHeight w:val="191"/>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Jeffrey T. Gill</w:t>
            </w:r>
          </w:p>
        </w:tc>
      </w:tr>
      <w:tr>
        <w:trPr>
          <w:trHeight w:val="216"/>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34"/>
        </w:trPr>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May 19, 2026</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Rebecca R. Eckert</w:t>
            </w:r>
          </w:p>
        </w:tc>
      </w:tr>
      <w:tr>
        <w:trPr>
          <w:trHeight w:val="211"/>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Rebecca R. Eckert</w:t>
            </w:r>
          </w:p>
        </w:tc>
      </w:tr>
    </w:tbl>
    <w:p>
      <w:pPr>
        <w:jc w:val="center"/>
        <w:ind w:left="6740"/>
        <w:spacing w:after="0"/>
        <w:rPr>
          <w:sz w:val="20"/>
          <w:szCs w:val="20"/>
          <w:color w:val="auto"/>
        </w:rPr>
      </w:pPr>
      <w:r>
        <w:rPr>
          <w:rFonts w:ascii="Times New Roman" w:cs="Times New Roman" w:eastAsia="Times New Roman" w:hAnsi="Times New Roman"/>
          <w:sz w:val="18"/>
          <w:szCs w:val="18"/>
          <w:color w:val="auto"/>
        </w:rPr>
        <w:t>Vice President &amp; Chief Accounting Officer</w:t>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Sypris Solutions, Inc. and will be retained by Sypris Solutions, Inc. and furnished to the Securities and Exchange Commission or its staff upon request.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6"/>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44" Type="http://schemas.openxmlformats.org/officeDocument/2006/relationships/hyperlink" Target="http://www.sec.gov/Archives/edgar/data/864240/000143774926001220/ex_9069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2026-05-19T10:35:42Z</dcterms:created>
  <dcterms:modified xsi:type="dcterms:W3CDTF">2026-05-19T10:35:42Z</dcterms:modified>
</cp:coreProperties>
</file>