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Sypris Solutions,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0-24020</w:t>
            </w:r>
          </w:p>
        </w:tc>
        <w:tc>
          <w:tcPr>
            <w:tcW w:w="2800" w:type="dxa"/>
            <w:vAlign w:val="bottom"/>
          </w:tcPr>
          <w:p>
            <w:pPr>
              <w:jc w:val="right"/>
              <w:ind w:right="1350"/>
              <w:spacing w:after="0"/>
              <w:rPr>
                <w:sz w:val="20"/>
                <w:szCs w:val="20"/>
                <w:color w:val="auto"/>
              </w:rPr>
            </w:pPr>
            <w:r>
              <w:rPr>
                <w:rFonts w:ascii="Times New Roman" w:cs="Times New Roman" w:eastAsia="Times New Roman" w:hAnsi="Times New Roman"/>
                <w:sz w:val="18"/>
                <w:szCs w:val="18"/>
                <w:b w:val="1"/>
                <w:bCs w:val="1"/>
                <w:color w:val="auto"/>
              </w:rPr>
              <w:t>61-1321992</w:t>
            </w:r>
          </w:p>
        </w:tc>
      </w:tr>
      <w:tr>
        <w:trPr>
          <w:trHeight w:val="216"/>
        </w:trPr>
        <w:tc>
          <w:tcPr>
            <w:tcW w:w="29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80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4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101 Bullitt Lane, Suite 450</w:t>
            </w:r>
          </w:p>
        </w:tc>
        <w:tc>
          <w:tcPr>
            <w:tcW w:w="54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29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Louisville, Kentucky</w:t>
            </w:r>
          </w:p>
        </w:tc>
        <w:tc>
          <w:tcPr>
            <w:tcW w:w="5460" w:type="dxa"/>
            <w:vAlign w:val="bottom"/>
          </w:tcPr>
          <w:p>
            <w:pPr>
              <w:spacing w:after="0"/>
              <w:rPr>
                <w:sz w:val="18"/>
                <w:szCs w:val="18"/>
                <w:color w:val="auto"/>
              </w:rPr>
            </w:pPr>
          </w:p>
        </w:tc>
        <w:tc>
          <w:tcPr>
            <w:tcW w:w="2800" w:type="dxa"/>
            <w:vAlign w:val="bottom"/>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216"/>
        </w:trPr>
        <w:tc>
          <w:tcPr>
            <w:tcW w:w="29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(Address of Principal</w:t>
            </w:r>
          </w:p>
        </w:tc>
        <w:tc>
          <w:tcPr>
            <w:tcW w:w="5460" w:type="dxa"/>
            <w:vAlign w:val="bottom"/>
          </w:tcPr>
          <w:p>
            <w:pPr>
              <w:spacing w:after="0"/>
              <w:rPr>
                <w:sz w:val="18"/>
                <w:szCs w:val="18"/>
                <w:color w:val="auto"/>
              </w:rPr>
            </w:pPr>
          </w:p>
        </w:tc>
        <w:tc>
          <w:tcPr>
            <w:tcW w:w="28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38"/>
        </w:trPr>
        <w:tc>
          <w:tcPr>
            <w:tcW w:w="29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Executive Offices)</w:t>
            </w:r>
          </w:p>
        </w:tc>
        <w:tc>
          <w:tcPr>
            <w:tcW w:w="54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4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 (502) 329-2000</w:t>
            </w:r>
          </w:p>
        </w:tc>
        <w:tc>
          <w:tcPr>
            <w:tcW w:w="2800" w:type="dxa"/>
            <w:vAlign w:val="bottom"/>
          </w:tcPr>
          <w:p>
            <w:pPr>
              <w:spacing w:after="0"/>
              <w:rPr>
                <w:sz w:val="24"/>
                <w:szCs w:val="24"/>
                <w:color w:val="auto"/>
              </w:rPr>
            </w:pPr>
          </w:p>
        </w:tc>
      </w:tr>
      <w:tr>
        <w:trPr>
          <w:trHeight w:val="290"/>
        </w:trPr>
        <w:tc>
          <w:tcPr>
            <w:tcW w:w="29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r>
        <w:trPr>
          <w:trHeight w:val="54"/>
        </w:trPr>
        <w:tc>
          <w:tcPr>
            <w:tcW w:w="298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r>
    </w:tbl>
    <w:p>
      <w:pPr>
        <w:spacing w:after="0" w:line="252"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chapter) or Rule 12b-2 of the Securities Exchange Act of 1934 (§240.12b-2 of this chapter).</w:t>
            </w:r>
          </w:p>
        </w:tc>
        <w:tc>
          <w:tcPr>
            <w:tcW w:w="2260" w:type="dxa"/>
            <w:vAlign w:val="bottom"/>
            <w:vMerge w:val="restart"/>
          </w:tcPr>
          <w:p>
            <w:pPr>
              <w:ind w:left="2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jc w:val="both"/>
        <w:ind w:right="28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new or revised financial accounting standards provided pursuant to Section 13(a) of the Exchange Act.</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SYPR</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568"/>
        </w:trPr>
        <w:tc>
          <w:tcPr>
            <w:tcW w:w="37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5" w:right="339" w:bottom="1440" w:gutter="0" w:footer="0" w:header="0"/>
        </w:sectPr>
      </w:pPr>
    </w:p>
    <w:bookmarkStart w:id="1" w:name="page2"/>
    <w:bookmarkEnd w:id="1"/>
    <w:p>
      <w:pPr>
        <w:ind w:left="434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May 19, 2026, Sypris Solutions, Inc. (the “Company”) announced its financial results for the first quarter ended April 5, 2026. The full text of the press release is set forth in Exhibit 99 hereto.</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and the attached Exhibit is being furnished pursuant to Item 2.02 “Results of Operations and Financial Condition” and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Regulation FD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left="980"/>
        <w:spacing w:after="0" w:line="282" w:lineRule="auto"/>
        <w:rPr>
          <w:sz w:val="20"/>
          <w:szCs w:val="20"/>
          <w:color w:val="auto"/>
        </w:rPr>
      </w:pPr>
      <w:r>
        <w:rPr>
          <w:rFonts w:ascii="Times New Roman" w:cs="Times New Roman" w:eastAsia="Times New Roman" w:hAnsi="Times New Roman"/>
          <w:sz w:val="18"/>
          <w:szCs w:val="18"/>
          <w:color w:val="auto"/>
        </w:rPr>
        <w:t>On May 19, 2026, Sypris Solutions, Inc. (the “Company”) announced its financial results for the first quarter ended April 5, 2026. The full text of the press release is set forth in Exhibit 99 hereto.</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The information in this Form 8-K and the attached Exhibit as well as the supplemental information referenced above is being furnished pursuant to Item 7.01 “Regulation FD Disclosure” and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34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auto"/>
        </w:rPr>
        <w:t>Exhibit Number</w:t>
      </w:r>
      <w:r>
        <w:rPr>
          <w:sz w:val="20"/>
          <w:szCs w:val="20"/>
          <w:color w:val="auto"/>
        </w:rPr>
        <w:tab/>
      </w:r>
      <w:r>
        <w:rPr>
          <w:rFonts w:ascii="Times New Roman" w:cs="Times New Roman" w:eastAsia="Times New Roman" w:hAnsi="Times New Roman"/>
          <w:sz w:val="17"/>
          <w:szCs w:val="17"/>
          <w:u w:val="single" w:color="auto"/>
          <w:color w:val="auto"/>
        </w:rPr>
        <w:t>Description of Exhibit</w:t>
      </w:r>
    </w:p>
    <w:p>
      <w:pPr>
        <w:spacing w:after="0" w:line="36" w:lineRule="exact"/>
        <w:rPr>
          <w:sz w:val="20"/>
          <w:szCs w:val="20"/>
          <w:color w:val="auto"/>
        </w:rPr>
      </w:pPr>
    </w:p>
    <w:p>
      <w:pPr>
        <w:ind w:left="1800" w:hanging="1468"/>
        <w:spacing w:after="0"/>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Press release issued May 19, 2026.</w:t>
      </w:r>
    </w:p>
    <w:p>
      <w:pPr>
        <w:spacing w:after="0" w:line="36" w:lineRule="exact"/>
        <w:rPr>
          <w:sz w:val="20"/>
          <w:szCs w:val="20"/>
          <w:color w:val="auto"/>
        </w:rPr>
      </w:pPr>
    </w:p>
    <w:p>
      <w:pPr>
        <w:ind w:left="340"/>
        <w:spacing w:after="0"/>
        <w:tabs>
          <w:tab w:leader="none" w:pos="1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May 19, 2026</w:t>
      </w:r>
      <w:r>
        <w:rPr>
          <w:sz w:val="20"/>
          <w:szCs w:val="20"/>
          <w:color w:val="auto"/>
        </w:rPr>
        <w:tab/>
      </w:r>
      <w:r>
        <w:rPr>
          <w:rFonts w:ascii="Times New Roman" w:cs="Times New Roman" w:eastAsia="Times New Roman" w:hAnsi="Times New Roman"/>
          <w:sz w:val="17"/>
          <w:szCs w:val="17"/>
          <w:b w:val="1"/>
          <w:bCs w:val="1"/>
          <w:color w:val="auto"/>
        </w:rPr>
        <w:t>Sypris Solutions,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Rebecca R. Eckert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Rebecca R. Eckert</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Chief Accounting Officer &amp; Controller</w:t>
      </w:r>
    </w:p>
    <w:p>
      <w:pPr>
        <w:sectPr>
          <w:pgSz w:w="11900" w:h="16838" w:orient="portrait"/>
          <w:cols w:equalWidth="0" w:num="1">
            <w:col w:w="10740"/>
          </w:cols>
          <w:pgMar w:left="320" w:top="576" w:right="8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156845</wp:posOffset>
            </wp:positionV>
            <wp:extent cx="2194560"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more information,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Rebecca R. Eckert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(502) 329-2000</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REPORTS 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ORDERS JUMP 28% FOR SYPRIS ELECTRONICS; INCREASE 269% SEQUENTIALLY</w:t>
      </w:r>
    </w:p>
    <w:p>
      <w:pPr>
        <w:spacing w:after="0" w:line="200" w:lineRule="exact"/>
        <w:rPr>
          <w:sz w:val="20"/>
          <w:szCs w:val="20"/>
          <w:color w:val="auto"/>
        </w:rPr>
      </w:pPr>
    </w:p>
    <w:p>
      <w:pPr>
        <w:spacing w:after="0" w:line="2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LOUISVILLE, KY (May 19, 2026) – Sypris Solutions, Inc. (Nasdaq/GM: SYPR) today reported financial results for its first quarter ended April 5,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1" w:lineRule="exact"/>
        <w:rPr>
          <w:sz w:val="20"/>
          <w:szCs w:val="20"/>
          <w:color w:val="auto"/>
        </w:rPr>
      </w:pPr>
    </w:p>
    <w:p>
      <w:pPr>
        <w:ind w:left="900" w:right="580" w:hanging="330"/>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for Sypris Electronics increased 28% year-over-year and 269% sequentially, driven by bookings supporting various missile programs, a major defense aviation program and subsea fiber-optic data network systems.</w:t>
      </w:r>
    </w:p>
    <w:p>
      <w:pPr>
        <w:spacing w:after="0" w:line="161" w:lineRule="exact"/>
        <w:rPr>
          <w:rFonts w:ascii="Times New Roman" w:cs="Times New Roman" w:eastAsia="Times New Roman" w:hAnsi="Times New Roman"/>
          <w:sz w:val="18"/>
          <w:szCs w:val="18"/>
          <w:color w:val="auto"/>
        </w:rPr>
      </w:pPr>
    </w:p>
    <w:p>
      <w:pPr>
        <w:ind w:left="900" w:right="580" w:hanging="330"/>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for our energy products rose 31% year-over-year and 38% sequentially, reflecting positive demand from customers involved with the export of LNG, the transmission of natural gas and the conversion of utilities to cleaner-burning fuels.</w:t>
      </w:r>
    </w:p>
    <w:p>
      <w:pPr>
        <w:spacing w:after="0" w:line="161" w:lineRule="exact"/>
        <w:rPr>
          <w:rFonts w:ascii="Times New Roman" w:cs="Times New Roman" w:eastAsia="Times New Roman" w:hAnsi="Times New Roman"/>
          <w:sz w:val="18"/>
          <w:szCs w:val="18"/>
          <w:color w:val="auto"/>
        </w:rPr>
      </w:pPr>
    </w:p>
    <w:p>
      <w:pPr>
        <w:jc w:val="both"/>
        <w:ind w:left="900" w:right="580" w:hanging="330"/>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Sypris Electronics announced that it had been awarded a follow-on contract to produce and test space-grade circuit card assemblies for use in the Orion spacecraft supporting the missions of NASA’s Artemis program, with production expected to continue through 2027.</w:t>
      </w:r>
    </w:p>
    <w:p>
      <w:pPr>
        <w:spacing w:after="0" w:line="175" w:lineRule="exact"/>
        <w:rPr>
          <w:rFonts w:ascii="Times New Roman" w:cs="Times New Roman" w:eastAsia="Times New Roman" w:hAnsi="Times New Roman"/>
          <w:sz w:val="18"/>
          <w:szCs w:val="18"/>
          <w:color w:val="auto"/>
        </w:rPr>
      </w:pPr>
    </w:p>
    <w:p>
      <w:pPr>
        <w:jc w:val="both"/>
        <w:ind w:left="900" w:right="580" w:hanging="330"/>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Sypris Technologies announced that it entered into a long-term, sole-source agreement with a global truck OEM to supply certain critical components for use in its proprietary advance automated manual transmission for heavy trucks in North America. Production is expected to begin in 2027.</w:t>
      </w:r>
    </w:p>
    <w:p>
      <w:pPr>
        <w:spacing w:after="0" w:line="175" w:lineRule="exact"/>
        <w:rPr>
          <w:rFonts w:ascii="Times New Roman" w:cs="Times New Roman" w:eastAsia="Times New Roman" w:hAnsi="Times New Roman"/>
          <w:sz w:val="18"/>
          <w:szCs w:val="18"/>
          <w:color w:val="auto"/>
        </w:rPr>
      </w:pPr>
    </w:p>
    <w:p>
      <w:pPr>
        <w:ind w:left="900" w:right="580" w:hanging="330"/>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Sypris Technologies also announced a long-term, sole-source contract extension to provide drivetrain components for a leading tier-one manufacturer serving the North American heavy truck and all-terrain vehicle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escalation of the conflict in the Middle East has increased demand for inventory replenishment and technology upgrades, thereby placing a premium on the industry’s ability to scale rapidly and efficiently,” commented Jeffrey T. Gill, President and Chief Executive Officer. “We expect Sypris Electronics, with its advanced production capabilities, deep, experienced technical organization and strong market position, to continue benefiting from this demand. While material availability and a series of short-term issues impacted our performance during the first quarter, we are optimistic these issues will be resolved going forward.</w:t>
      </w:r>
    </w:p>
    <w:p>
      <w:pPr>
        <w:spacing w:after="0" w:line="18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“Orders for our energy products increased 31% year-over-year and 38% sequentially, with demand still outstanding on several large projects. Additional growth opportunities may emerge from new global projects aimed at meeting increasing LNG demand, including support for the expected surge in electricity demand from AI-related data centers. We are also actively pursuing applications for our products in adjacent markets including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capture to further diversify our industry and customer portfolios.</w:t>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Sypris Reports First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Sypris Technologies, the downturn we experienced during the second half of 2025 and into the first quarter of 2026 from customers in some of our transportation-related markets appears to be nearing an end, and we expect the inventory replenishment cycle to accelerate as we move through 2026 with demand expected to increase sequentially.”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reported revenue of $25.8 million for the first quarter of 2026 compared to $29.5 million for the prior-year comparable period. Additionally, the Company reported a net loss of $4.1 million, or $0.18 per share, compared with $0.9 million, or $0.04 per share, for the prior-year period. Results for the first quarter of 2026 included $2.4 million in increased expenses for healthcare, unabsorbed overhead, foreign exchange variances, charges for scrap and rework and accruals for excess and obsolete inventory as compared to the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Sypris Technologies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for Sypris Technologies was $12.4 million in the first quarter of 2026 compared to $13.6 million for the prior-year comparable period. This decline reflects the downturn in the commercial vehicle market and the impact of customers adjusting inventory to align with OEM build schedules. This was partially offset by strong energy product sales compared with the prior-year period. Gross profit for the first quarter of 2026 was $1.4 million compared to $2.1 million for the same period in 2025. Gross profit for the first quarter of 2026 was pressured by lower volumes and unfavorable foreign exchange rates compared with the prior-year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Sypris Electronics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for Sypris Electronics was $13.4 million in the first quarter of 2026 compared to $15.9 million for the prior-year period as a result of material availability issues in addition to customer design changes on certain new programs, which pushed out delivery dates. Gross profit for the first quarter of 2026 was a loss of $0.6 million compared with a profit of $1.3 million for the same period in 2025. Some of the material availability issues have delayed certain customer deliveries, limited our ability to ramp up production in response to customer demand for certain products, and caused out-of-sequence manufacturing, which increases costs and decreases operational efficiency.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Commenting on the future, Mr. Gill added, “We expect the challenging operating environment to improve as we move through 2026. With a strong backlog and new program wins, we are confident that our future has the potential to be very positive. We are closely monitoring customer demand and forward-looking signals, and we believe our long-standing track record of resilience will allow us to successfully navigate any headwinds.”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Sypris Solutions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Sypris Solutions provides products and engineering, design, and manufacturing services for a variety of critical infrastructure sectors, including energy, space, communications, defense, transport, chemical, and water. Sypris serves its customers globally through its operations located in North America. For more information about the Company, please visit its website at </w:t>
      </w:r>
      <w:r>
        <w:rPr>
          <w:rFonts w:ascii="Times New Roman" w:cs="Times New Roman" w:eastAsia="Times New Roman" w:hAnsi="Times New Roman"/>
          <w:sz w:val="18"/>
          <w:szCs w:val="18"/>
          <w:u w:val="single" w:color="auto"/>
          <w:color w:val="auto"/>
        </w:rPr>
        <w:t>www.sypris.com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Sypris Reports First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This press release contains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forward-looking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statements within the meaning of the federal securities laws. Forward-looking statements include our plans and expectations of future financial and operational performance. Each forward-looking statement herein is subject to risks and uncertainties, as detailed in our most recent Form 10-K and Form 10-Q and other SEC filings. </w:t>
      </w:r>
      <w:r>
        <w:rPr>
          <w:rFonts w:ascii="Times New Roman" w:cs="Times New Roman" w:eastAsia="Times New Roman" w:hAnsi="Times New Roman"/>
          <w:sz w:val="17"/>
          <w:szCs w:val="17"/>
          <w:i w:val="1"/>
          <w:iCs w:val="1"/>
          <w:color w:val="auto"/>
        </w:rPr>
        <w:t>Briefly, we currently believe that such risks also include the following: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fees, costs and supply of, or access to, debt, equity capital, or other sources of liquidity; the termination or non-renewal of existing contracts by customers; our failure to achieve and maintain profitability on a timely basis by steadily increasing our revenues from profitable contracts with a diversified group of customers, which would cause us to continue to use existing cash resources or require us to sell assets to fund operating losses; volatility of our customers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forecasts and our contractual obligations to meet current scheduling demands and production levels, which may negatively impact our operational capacity and our effectiveness to integrate new customers or suppliers, and in turn cause increases in our inventory and working capital levels; cost, quality and availability or lead times of raw materials such as steel, component parts (especially electronic components), natural gas or utilities including increased cost relating to inflation, as well as the impact of proposed or imposed tariffs by the U.S. government on imports to the U.S. and/or the imposition of retaliatory tariffs by foreign countries; our reliance on a few key customers, third party vendors and sub-suppliers; significant delays or reductions due to a prolonged continuing resolution or U.S. government shutdown reducing the spending on products and services that Sypris Electronics provides; risks of foreign operations, including foreign currency exchange rate risk exposure, which could impact our operating results; the cost, quality, timeliness, efficiency and yield of our operations and capital investments, including the impact of inflation, tariffs, product recalls or related liabilities, employee training, working capital, production schedules, cycle times, scrap rates, injuries, wages, overtime costs, freight or expediting costs; inventory valuation risks including excessive or obsolescent valuations or price erosions of raw materials or component parts on hand or other potential impairments, non-recoverability or write-offs of assets or deferred costs; our failure to successfully complete final contract negotiations with regard to our announced contract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orders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wins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awards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our ability to maintain compliance with the Nasdaq listing standards, including without limitation minimum closing bid price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equity; our failure to successfully win new business or develop new or improved products or new markets for our products; war, geopolitical conflict, terrorism, or political uncertainty, or disruptions resulting from military hostilities between Russia and Ukraine, Israel and Hamas, and the U.S., Israel and Iran, or other tensions in the Middle East, including arising out of international sanctions, foreign currency fluctuations and other economic impacts; adverse impacts of new technologies or other competitive pressures which increase our costs or erode our margins; the costs and supply of insurance on acceptable terms and with adequate coverage; unanticipated or uninsured product liability claims, disasters, public health crises, losses or business risks; breakdowns, relocations or major repairs of machinery and equipment, especially in our Toluca Plant; the costs of compliance with our auditing, regulatory or contractual obligations; pension valuation, health care or other benefit costs; dependence on, retention or recruitment of key employees and highly skilled personnel and distribution of our human capital; our reliance on revenues from customers in the oil and gas and automotive markets, with increasing consumer pressure for reductions in environmental impacts attributed to greenhouse gas emissions and increased vehicle fuel economy; labor relations; strikes; union negotiations; disputes or litigation involving governmental, supplier, customer, employee, creditor, stockholder, premises liability, personal injury, product liability, warranty or environmental claims; failure to adequately insure or to identify product liability, environmental or other insurable risks; costs associated with environmental or other claims relating to properties previously owned; our inability to patent or otherwise protect our inventions or other intellectual property rights from potential competitors or fully exploit such rights which could materially affect our ability to compete in our chosen markets; changes in licenses, security clearances, or other legal rights to operate, manage our work force or import and export as needed; cybersecurity threats and disruptions, including ransomware attacks on our systems and the systems of third-party vendors and other parties with which we conduct business, all of which may become more pronounced in the event of geopolitical conflicts and other uncertainties, such as the conflict in Ukraine; risks related to owning our common stock, including increased volatility; possible public policy response to a public health emergency, including U.S. or foreign government legislation or restrictions that may impact our operations or supply chain; or unknown risks and uncertainties. We undertake no obligation to update our forward-looking statements, except as may be required by law.</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Sypris Reports First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1"/>
        </w:trPr>
        <w:tc>
          <w:tcPr>
            <w:tcW w:w="80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470"/>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7"/>
                <w:szCs w:val="17"/>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25,811</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29,508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22,329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22,140</w:t>
            </w: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22,329</w:t>
            </w:r>
          </w:p>
        </w:tc>
        <w:tc>
          <w:tcPr>
            <w:tcW w:w="3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22,140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Sypris Reports First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Solutions, Inc.</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1"/>
        </w:trPr>
        <w:tc>
          <w:tcPr>
            <w:tcW w:w="80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481"/>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Sypris Technologies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12,412</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13,573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Sypris Electronics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13,399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15,935</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revenue</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Sypris Technologies</w:t>
            </w:r>
          </w:p>
        </w:tc>
        <w:tc>
          <w:tcPr>
            <w:tcW w:w="26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10,993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11,466</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Sypris Electronics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13,997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14,676</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 of sales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Sypris Technologies</w:t>
            </w:r>
          </w:p>
        </w:tc>
        <w:tc>
          <w:tcPr>
            <w:tcW w:w="260" w:type="dxa"/>
            <w:vAlign w:val="bottom"/>
          </w:tcPr>
          <w:p>
            <w:pPr>
              <w:spacing w:after="0"/>
              <w:rPr>
                <w:sz w:val="18"/>
                <w:szCs w:val="18"/>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Sypris Electronics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taxes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 net</w:t>
            </w:r>
          </w:p>
        </w:tc>
        <w:tc>
          <w:tcPr>
            <w:tcW w:w="2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22,329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22,140</w:t>
            </w:r>
          </w:p>
        </w:tc>
        <w:tc>
          <w:tcPr>
            <w:tcW w:w="0" w:type="dxa"/>
            <w:vAlign w:val="bottom"/>
          </w:tcPr>
          <w:p>
            <w:pPr>
              <w:spacing w:after="0"/>
              <w:rPr>
                <w:sz w:val="1"/>
                <w:szCs w:val="1"/>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22,329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22,140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Sypris Reports First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(Note)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9,846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52,522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52,463</w:t>
            </w: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10,808</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77,814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7,333</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4,587</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10,270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49,428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 obligations, current portion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Equipment financing obligations, current portion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Working capital line of credit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payable, current portion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 related party, current portion</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 of current portion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Equipment financing obligations, net of current portion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net of current portion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 related party</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11,993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par value $0.01 per share, 975,150 shares authorized; no shares issued</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preferred stock, par value $0.01 per share, 24,850 shares authorized; no shares issued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non-voting, par value $0.01 per share, 10,000,000 shares authorized; no shares issued</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30,000,000 shares authorized; 23,013,013 shares issued and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22,991,500 outstanding in 2026 and 23,051,483 shares issued and 23,029,970 outstanding in 2025</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(129,076)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(124,950)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(15,486)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21,513 in 2026 and 2025</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Note: The balance sheet at December 31, 2025, has been derived from the audited consolidated financial statements at that date but does not include all information and footnotes required by accounting principles generally accepted in the United States for a complete set of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Sypris Reports First Quarter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Sypris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Cash Flow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1"/>
        </w:trPr>
        <w:tc>
          <w:tcPr>
            <w:tcW w:w="80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560"/>
              <w:spacing w:after="0" w:line="201" w:lineRule="exact"/>
              <w:rPr>
                <w:sz w:val="20"/>
                <w:szCs w:val="20"/>
                <w:color w:val="auto"/>
              </w:rPr>
            </w:pPr>
            <w:r>
              <w:rPr>
                <w:rFonts w:ascii="Times New Roman" w:cs="Times New Roman" w:eastAsia="Times New Roman" w:hAnsi="Times New Roman"/>
                <w:sz w:val="18"/>
                <w:szCs w:val="18"/>
                <w:b w:val="1"/>
                <w:bCs w:val="1"/>
                <w:color w:val="auto"/>
              </w:rPr>
              <w:t>April 5,</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50"/>
              <w:spacing w:after="0" w:line="201"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5"/>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(4,126)</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loan costs amortized</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noncash items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Contributions to pension plans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assets, current and non-current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(8,600)</w:t>
            </w:r>
          </w:p>
        </w:tc>
        <w:tc>
          <w:tcPr>
            <w:tcW w:w="0" w:type="dxa"/>
            <w:vAlign w:val="bottom"/>
          </w:tcPr>
          <w:p>
            <w:pPr>
              <w:spacing w:after="0"/>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00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loan payable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 related party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loan payable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equipment financing obligations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Indirect repurchase of shares for minimum statutory tax withholdings</w:t>
            </w:r>
          </w:p>
        </w:tc>
        <w:tc>
          <w:tcPr>
            <w:tcW w:w="2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balances</w:t>
            </w:r>
          </w:p>
        </w:tc>
        <w:tc>
          <w:tcPr>
            <w:tcW w:w="2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9,675</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END -</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2026-05-19T06:51:32Z</dcterms:created>
  <dcterms:modified xsi:type="dcterms:W3CDTF">2026-05-19T06:51:32Z</dcterms:modified>
</cp:coreProperties>
</file>