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Sypris Solutions,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0-24020</w:t>
            </w:r>
          </w:p>
        </w:tc>
        <w:tc>
          <w:tcPr>
            <w:tcW w:w="27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61-1321992</w:t>
            </w:r>
          </w:p>
        </w:tc>
      </w:tr>
      <w:tr>
        <w:trPr>
          <w:trHeight w:val="216"/>
        </w:trPr>
        <w:tc>
          <w:tcPr>
            <w:tcW w:w="29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6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6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9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101 Bullitt Lane, Suite 450</w:t>
            </w:r>
          </w:p>
        </w:tc>
        <w:tc>
          <w:tcPr>
            <w:tcW w:w="55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6"/>
        </w:trPr>
        <w:tc>
          <w:tcPr>
            <w:tcW w:w="29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Louisville, Kentucky</w:t>
            </w:r>
          </w:p>
        </w:tc>
        <w:tc>
          <w:tcPr>
            <w:tcW w:w="5540" w:type="dxa"/>
            <w:vAlign w:val="bottom"/>
          </w:tcPr>
          <w:p>
            <w:pPr>
              <w:spacing w:after="0"/>
              <w:rPr>
                <w:sz w:val="18"/>
                <w:szCs w:val="18"/>
                <w:color w:val="auto"/>
              </w:rPr>
            </w:pPr>
          </w:p>
        </w:tc>
        <w:tc>
          <w:tcPr>
            <w:tcW w:w="2760" w:type="dxa"/>
            <w:vAlign w:val="bottom"/>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40222</w:t>
            </w:r>
          </w:p>
        </w:tc>
      </w:tr>
      <w:tr>
        <w:trPr>
          <w:trHeight w:val="216"/>
        </w:trPr>
        <w:tc>
          <w:tcPr>
            <w:tcW w:w="29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(Address of Principal</w:t>
            </w:r>
          </w:p>
        </w:tc>
        <w:tc>
          <w:tcPr>
            <w:tcW w:w="5540" w:type="dxa"/>
            <w:vAlign w:val="bottom"/>
          </w:tcPr>
          <w:p>
            <w:pPr>
              <w:spacing w:after="0"/>
              <w:rPr>
                <w:sz w:val="18"/>
                <w:szCs w:val="18"/>
                <w:color w:val="auto"/>
              </w:rPr>
            </w:pPr>
          </w:p>
        </w:tc>
        <w:tc>
          <w:tcPr>
            <w:tcW w:w="276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238"/>
        </w:trPr>
        <w:tc>
          <w:tcPr>
            <w:tcW w:w="29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Executive Offices)</w:t>
            </w:r>
          </w:p>
        </w:tc>
        <w:tc>
          <w:tcPr>
            <w:tcW w:w="554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Registrant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 telephone number, including area code: (502) 329-2000</w:t>
            </w:r>
          </w:p>
        </w:tc>
        <w:tc>
          <w:tcPr>
            <w:tcW w:w="2760" w:type="dxa"/>
            <w:vAlign w:val="bottom"/>
          </w:tcPr>
          <w:p>
            <w:pPr>
              <w:spacing w:after="0"/>
              <w:rPr>
                <w:sz w:val="24"/>
                <w:szCs w:val="24"/>
                <w:color w:val="auto"/>
              </w:rPr>
            </w:pPr>
          </w:p>
        </w:tc>
      </w:tr>
      <w:tr>
        <w:trPr>
          <w:trHeight w:val="290"/>
        </w:trPr>
        <w:tc>
          <w:tcPr>
            <w:tcW w:w="294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54"/>
        </w:trPr>
        <w:tc>
          <w:tcPr>
            <w:tcW w:w="2940" w:type="dxa"/>
            <w:vAlign w:val="bottom"/>
            <w:tcBorders>
              <w:bottom w:val="single" w:sz="8" w:color="auto"/>
            </w:tcBorders>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r>
    </w:tbl>
    <w:p>
      <w:pPr>
        <w:spacing w:after="0" w:line="252" w:lineRule="exact"/>
        <w:rPr>
          <w:sz w:val="24"/>
          <w:szCs w:val="24"/>
          <w:color w:val="auto"/>
        </w:rPr>
      </w:pPr>
    </w:p>
    <w:p>
      <w:pPr>
        <w:jc w:val="center"/>
        <w:ind w:left="340"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chapter) or Rule 12b-2 of the Securities Exchange Act of 1934 (§240.12b-2 of this chapter).</w:t>
            </w:r>
          </w:p>
        </w:tc>
        <w:tc>
          <w:tcPr>
            <w:tcW w:w="2260" w:type="dxa"/>
            <w:vAlign w:val="bottom"/>
            <w:vMerge w:val="restart"/>
          </w:tcPr>
          <w:p>
            <w:pPr>
              <w:ind w:left="2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2"/>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jc w:val="both"/>
        <w:ind w:right="280"/>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new or revised financial accounting standards provided pursuant to Section 13(a) of the Exchange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100" w:type="dxa"/>
            <w:vAlign w:val="bottom"/>
            <w:tcBorders>
              <w:right w:val="single" w:sz="8" w:color="auto"/>
            </w:tcBorders>
          </w:tcPr>
          <w:p>
            <w:pPr>
              <w:spacing w:after="0"/>
              <w:rPr>
                <w:sz w:val="21"/>
                <w:szCs w:val="21"/>
                <w:color w:val="auto"/>
              </w:rPr>
            </w:pP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60" w:type="dxa"/>
            <w:vAlign w:val="bottom"/>
          </w:tcPr>
          <w:p>
            <w:pPr>
              <w:spacing w:after="0"/>
              <w:rPr>
                <w:sz w:val="21"/>
                <w:szCs w:val="21"/>
                <w:color w:val="auto"/>
              </w:rPr>
            </w:pPr>
          </w:p>
        </w:tc>
      </w:tr>
      <w:tr>
        <w:trPr>
          <w:trHeight w:val="193"/>
        </w:trPr>
        <w:tc>
          <w:tcPr>
            <w:tcW w:w="100" w:type="dxa"/>
            <w:vAlign w:val="bottom"/>
            <w:tcBorders>
              <w:right w:val="single" w:sz="8" w:color="auto"/>
            </w:tcBorders>
          </w:tcPr>
          <w:p>
            <w:pPr>
              <w:spacing w:after="0"/>
              <w:rPr>
                <w:sz w:val="16"/>
                <w:szCs w:val="16"/>
                <w:color w:val="auto"/>
              </w:rPr>
            </w:pPr>
          </w:p>
        </w:tc>
        <w:tc>
          <w:tcPr>
            <w:tcW w:w="36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Common Stock, $0.01 par value per share</w:t>
            </w:r>
          </w:p>
        </w:tc>
        <w:tc>
          <w:tcPr>
            <w:tcW w:w="37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SYPR</w:t>
            </w:r>
          </w:p>
        </w:tc>
        <w:tc>
          <w:tcPr>
            <w:tcW w:w="36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Global Select Market</w:t>
            </w:r>
          </w:p>
        </w:tc>
        <w:tc>
          <w:tcPr>
            <w:tcW w:w="60" w:type="dxa"/>
            <w:vAlign w:val="bottom"/>
          </w:tcPr>
          <w:p>
            <w:pPr>
              <w:spacing w:after="0"/>
              <w:rPr>
                <w:sz w:val="16"/>
                <w:szCs w:val="16"/>
                <w:color w:val="auto"/>
              </w:rPr>
            </w:pPr>
          </w:p>
        </w:tc>
      </w:tr>
      <w:tr>
        <w:trPr>
          <w:trHeight w:val="568"/>
        </w:trPr>
        <w:tc>
          <w:tcPr>
            <w:tcW w:w="1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32" w:right="339" w:bottom="1440" w:gutter="0" w:footer="0" w:header="0"/>
        </w:sectPr>
      </w:pPr>
    </w:p>
    <w:bookmarkStart w:id="1" w:name="page2"/>
    <w:bookmarkEnd w:id="1"/>
    <w:p>
      <w:pPr>
        <w:ind w:left="4340"/>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Information</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left="1140"/>
        <w:spacing w:after="0" w:line="266" w:lineRule="auto"/>
        <w:rPr>
          <w:sz w:val="20"/>
          <w:szCs w:val="20"/>
          <w:color w:val="auto"/>
        </w:rPr>
      </w:pPr>
      <w:r>
        <w:rPr>
          <w:rFonts w:ascii="Times New Roman" w:cs="Times New Roman" w:eastAsia="Times New Roman" w:hAnsi="Times New Roman"/>
          <w:sz w:val="18"/>
          <w:szCs w:val="18"/>
          <w:color w:val="auto"/>
        </w:rPr>
        <w:t xml:space="preserve">On November 12, 2025, Sypris Solutions, Inc. (the “Company”) announced its financial results for the third quarter ended September 28, 2025. The full text of the press release is set forth in Exhibit 99 hereto. The Company has also released certain supplemental financial information that can be accessed through the Company’s website at </w:t>
      </w:r>
      <w:r>
        <w:rPr>
          <w:rFonts w:ascii="Times New Roman" w:cs="Times New Roman" w:eastAsia="Times New Roman" w:hAnsi="Times New Roman"/>
          <w:sz w:val="18"/>
          <w:szCs w:val="18"/>
          <w:u w:val="single" w:color="auto"/>
          <w:color w:val="auto"/>
        </w:rPr>
        <w:t>http://www.sypris.com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140"/>
        <w:spacing w:after="0" w:line="261" w:lineRule="auto"/>
        <w:rPr>
          <w:sz w:val="20"/>
          <w:szCs w:val="20"/>
          <w:color w:val="auto"/>
        </w:rPr>
      </w:pPr>
      <w:r>
        <w:rPr>
          <w:rFonts w:ascii="Times New Roman" w:cs="Times New Roman" w:eastAsia="Times New Roman" w:hAnsi="Times New Roman"/>
          <w:sz w:val="18"/>
          <w:szCs w:val="18"/>
          <w:color w:val="auto"/>
        </w:rPr>
        <w:t>The information in this Form 8-K and the attached Exhibit is being furnished pursuant to Item 2.02 “Results of Operations and Financial Condition” and shall not be deemed “filed” for purposes of Section 18 of the Securities Exchange Act of 1934 or otherwise subject to the liabilities of that section, nor shall it be deemed incorporated by reference in any filing under the Securities Act of 1933, except as shall be expressly set forth by specific reference in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Regulation FD</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left="1140"/>
        <w:spacing w:after="0" w:line="266" w:lineRule="auto"/>
        <w:rPr>
          <w:sz w:val="20"/>
          <w:szCs w:val="20"/>
          <w:color w:val="auto"/>
        </w:rPr>
      </w:pPr>
      <w:r>
        <w:rPr>
          <w:rFonts w:ascii="Times New Roman" w:cs="Times New Roman" w:eastAsia="Times New Roman" w:hAnsi="Times New Roman"/>
          <w:sz w:val="18"/>
          <w:szCs w:val="18"/>
          <w:color w:val="auto"/>
        </w:rPr>
        <w:t xml:space="preserve">On November 12, 2025, Sypris Solutions, Inc. (the “Company”) announced its financial results for the third quarter ended September 28, 2025. The full text of the press release is set forth in Exhibit 99 hereto. The Company has also released certain supplemental financial information that can be accessed through the Company’s website at </w:t>
      </w:r>
      <w:r>
        <w:rPr>
          <w:rFonts w:ascii="Times New Roman" w:cs="Times New Roman" w:eastAsia="Times New Roman" w:hAnsi="Times New Roman"/>
          <w:sz w:val="18"/>
          <w:szCs w:val="18"/>
          <w:u w:val="single" w:color="auto"/>
          <w:color w:val="auto"/>
        </w:rPr>
        <w:t>http://www.sypris.com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140"/>
        <w:spacing w:after="0" w:line="261" w:lineRule="auto"/>
        <w:rPr>
          <w:sz w:val="20"/>
          <w:szCs w:val="20"/>
          <w:color w:val="auto"/>
        </w:rPr>
      </w:pPr>
      <w:r>
        <w:rPr>
          <w:rFonts w:ascii="Times New Roman" w:cs="Times New Roman" w:eastAsia="Times New Roman" w:hAnsi="Times New Roman"/>
          <w:sz w:val="18"/>
          <w:szCs w:val="18"/>
          <w:color w:val="auto"/>
        </w:rPr>
        <w:t>The information in this Form 8-K and the attached Exhibit as well as the supplemental information referenced above is being furnished pursuant to Item 7.01 “Regulation FD Disclosure” and shall not be deemed “filed” for purposes of Section 18 of the Securities Exchange Act of 1934 or otherwise subject to the liabilities of that section, nor shall it be deemed incorporated by reference in any filing under the Securities Act of 1933, except as shall be expressly set forth by specific reference in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Statements and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(d)Exhibits.</w:t>
            </w:r>
          </w:p>
        </w:tc>
        <w:tc>
          <w:tcPr>
            <w:tcW w:w="1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380" w:type="dxa"/>
            <w:vAlign w:val="bottom"/>
          </w:tcPr>
          <w:p>
            <w:pPr>
              <w:spacing w:after="0"/>
              <w:rPr>
                <w:sz w:val="20"/>
                <w:szCs w:val="20"/>
                <w:color w:val="auto"/>
              </w:rPr>
            </w:pPr>
          </w:p>
        </w:tc>
      </w:tr>
      <w:tr>
        <w:trPr>
          <w:trHeight w:val="391"/>
        </w:trPr>
        <w:tc>
          <w:tcPr>
            <w:tcW w:w="24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r>
        <w:trPr>
          <w:trHeight w:val="196"/>
        </w:trPr>
        <w:tc>
          <w:tcPr>
            <w:tcW w:w="140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520" w:type="dxa"/>
            <w:vAlign w:val="bottom"/>
          </w:tcPr>
          <w:p>
            <w:pPr>
              <w:spacing w:after="0"/>
              <w:rPr>
                <w:sz w:val="17"/>
                <w:szCs w:val="17"/>
                <w:color w:val="auto"/>
              </w:rPr>
            </w:pPr>
          </w:p>
        </w:tc>
        <w:tc>
          <w:tcPr>
            <w:tcW w:w="9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issued November 12, 2025.</w:t>
            </w:r>
          </w:p>
        </w:tc>
      </w:tr>
      <w:tr>
        <w:trPr>
          <w:trHeight w:val="20"/>
        </w:trPr>
        <w:tc>
          <w:tcPr>
            <w:tcW w:w="1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r>
        <w:trPr>
          <w:trHeight w:val="237"/>
        </w:trPr>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0"/>
                <w:szCs w:val="20"/>
                <w:color w:val="auto"/>
              </w:rPr>
            </w:pP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Dated: November 12, 2025</w:t>
      </w:r>
      <w:r>
        <w:rPr>
          <w:sz w:val="20"/>
          <w:szCs w:val="20"/>
          <w:color w:val="auto"/>
        </w:rPr>
        <w:tab/>
      </w:r>
      <w:r>
        <w:rPr>
          <w:rFonts w:ascii="Times New Roman" w:cs="Times New Roman" w:eastAsia="Times New Roman" w:hAnsi="Times New Roman"/>
          <w:sz w:val="18"/>
          <w:szCs w:val="18"/>
          <w:b w:val="1"/>
          <w:bCs w:val="1"/>
          <w:color w:val="auto"/>
        </w:rPr>
        <w:t>Sypris Solutions, Inc.</w:t>
      </w:r>
    </w:p>
    <w:p>
      <w:pPr>
        <w:spacing w:after="0" w:line="229"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Rebecca R. Eckert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Rebecca R. Eckert</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Vice President, Chief Accounting Officer &amp;</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Controller</w:t>
      </w:r>
    </w:p>
    <w:p>
      <w:pPr>
        <w:sectPr>
          <w:pgSz w:w="11900" w:h="16838" w:orient="portrait"/>
          <w:cols w:equalWidth="0" w:num="1">
            <w:col w:w="10740"/>
          </w:cols>
          <w:pgMar w:left="320" w:top="576" w:right="8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156845</wp:posOffset>
            </wp:positionV>
            <wp:extent cx="2194560" cy="702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more information,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Rebecca R. Eckert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(502) 329-2000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SYPRIS REPORTS 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ORDERS RISE 65% YTD FOR SYPRIS ELECTRONICS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 DEMAND FROM ELECTRONIC WARFARE AND COMMUNICATIONS MARKETS</w:t>
      </w:r>
    </w:p>
    <w:p>
      <w:pPr>
        <w:spacing w:after="0" w:line="200" w:lineRule="exact"/>
        <w:rPr>
          <w:sz w:val="20"/>
          <w:szCs w:val="20"/>
          <w:color w:val="auto"/>
        </w:rPr>
      </w:pPr>
    </w:p>
    <w:p>
      <w:pPr>
        <w:spacing w:after="0" w:line="24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LOUISVILLE, KY (November 12, 2025) – Sypris Solutions, Inc. (Nasdaq/GM: SYPR) today reported financial results for its third quarter ended September 28, 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1"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third quarter revenue decreased compared to the prior-year quarter primarily due to the near-term impact of tariffs, which reduced demand from certain transportation-related customers and necessitated the conversion of certain shipments from our facility in Mexico to a value-add only sub-maquiladora.</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Year-to-date orders for Sypris Electronics increased 65% as compared to the prior year comparable period, driving backlog up 14% from year-end 2024.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for our energy products rose 59% from year-end 2024.</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Sypris Electronics announced that it had secured follow-on contract awards to manufacture and test electronic power supply modules for multiple high-reliability subsea communication networks, with production currently underway and expected to continue through 2026.</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Sypris Electronics also announced that it had received a follow-on award to produce and test electronic interface modules for a U.S. Department of War missile weapons system as part of an ongoing modernization program. Production is expected to begin in 2026.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the Company completed a sale-leaseback transaction for its manufacturing facility located in Louisville, Kentucky, generating net proceeds of approximately $2.9 million and recognized a gain of $2.5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148590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past few months have been demanding, as we navigate the impact of tariffs on the economy and our customers,” commented Jeffrey T. Gill, President and Chief Executive Officer. “While the economic headwinds and disruptions in the quarter had an impact on our results, we continue to focus on operational excellence to drive the timely and efficient execution of the rapidly growing demand at Sypris Electronics. Customer funding has already been secured for a portion of the key programs, which enables us to procure inventory under multi-year purchase orders to mitigate future supply chain issues.</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Sypris Reports Third Quarter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experienced a meaningful decrease in demand from customers in some of our transportation-related markets. The combination of tariff concerns and regulatory uncertainty has driven a material reduction of inventory in the supply chain. We believe that this drawdown is nearing an end; however, we expect the replenishment cycle to take hold as we move through the coming year.</w:t>
      </w:r>
    </w:p>
    <w:p>
      <w:pPr>
        <w:spacing w:after="0" w:line="17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“Orders for our energy products remained steady during the period, with open quotes still outstanding on several large projects. Additional opportunities for growth may exist with new global projects to meet increasing LNG demand, including support for the projected steep increase in electricity demand from AI-related data centers. We are also actively pursuing applications for our products in adjacent markets including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capture to further diversify our industry and customer portfolios.”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Results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reported revenue of $28.7 million for the third quarter of 2025, compared to $35.7 million for the prior-year comparable period. Additionally, the Company reported net income of $0.5 million, or $0.02 per diluted share, compared with $0.4 million, or $0.02 per diluted share, for the prior-year period.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28, 2025, the Company reported revenue of $89.6 million compared to $106.7 million for the first nine months of 2024. The Company reported a net loss of $2.4 million compared with a net loss of $1.8 million for the prior-year period. Results for the three and nine months ended September 28, 2025, include a gain of $2.5 million from the sale of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Sypris Technologies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for Sypris Technologies was $11.5 million in the third quarter of 2025 compared to $19.5 million for the prior-year period. This decline reflects the anticipated cyclical downturn in the commercial vehicle market, the impact of customers adjusting inventory to align with OEM build schedules, and volume reductions related to tariff uncertainty. Furthermore, during 2025, Sypris Technologies began operating under a sub-maquiladora services agreement with one of its customers in Mexico under which the material is consigned to us by the customer instead of being included in the price. This resulted in a revenue decrease of $1.0 million as compared to the prior-year comparable period. Gross profit for the third quarter of 2025 was $0.9 million, or 7.5% of revenue, compared to $3.7 million, or 18.8% of revenue, for the same period in 2024. Gross profit for the third quarter of 2025 was negatively impacted by the decrease in volumes, in addition to an unfavorable mix as compared to the prior-year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Sypris Electronics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for Sypris Electronics was $17.1 million in the third quarter of 2025 compared to $16.2 million for the prior-year period as a result of the ramp up of certain programs during the period. Gross profit for the third quarter of 2025 was $1.2 million, or 6.9% of revenue, compared to $2.3 million, or 14.3% of revenue, for the same period in 2024. Some of the material availability issues experienced over the past have delayed certain customer deliveries and have caused out-of-sequence manufacturing, which increases costs and decreases operational efficiency.</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Sypris Reports Third Quarter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Commenting on the future, Mr. Gill added, “We expect the challenging operating environment to continue into the first part of next year, as impacts from tariffs and macroeconomic conditions drive further uncertainty across our markets. However, with a strong backlog and new program wins, we are confident that our future has the potential to be very positive. We are closely monitoring customer demand and forward-looking signals, and we believe our long-standing track record of resilience will allow us to successfully navigate any headwinds. While we anticipate a decline in revenue due to inventory drawdowns and the conversion of certain shipments from Mexico to the U.S. into a value-add only sub-maquiladora basis, we expect the combined strength of our backlog for Sypris Electronics and robust orders for our energy products to serve as a partial offset.”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Sypris Solutions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Sypris Solutions is a diversified manufacturing and engineering services company serving the defense, transportation, communications, and energy industries. For more information about Sypris Solutions, visit its Web site at </w:t>
      </w:r>
      <w:r>
        <w:rPr>
          <w:rFonts w:ascii="Times New Roman" w:cs="Times New Roman" w:eastAsia="Times New Roman" w:hAnsi="Times New Roman"/>
          <w:sz w:val="18"/>
          <w:szCs w:val="18"/>
          <w:u w:val="single" w:color="auto"/>
          <w:color w:val="auto"/>
        </w:rPr>
        <w:t>www.sypris.com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This press release contains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forward-looking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statements within the meaning of the federal securities laws. Forward-looking statements include our plans and expectations of future financial and operational performance. Each forward-looking statement herein is subject to risks and uncertainties, as detailed in our most recent Form 10-K and Form 10-Q and other SEC filings. </w:t>
      </w:r>
      <w:r>
        <w:rPr>
          <w:rFonts w:ascii="Times New Roman" w:cs="Times New Roman" w:eastAsia="Times New Roman" w:hAnsi="Times New Roman"/>
          <w:sz w:val="18"/>
          <w:szCs w:val="18"/>
          <w:i w:val="1"/>
          <w:iCs w:val="1"/>
          <w:color w:val="auto"/>
        </w:rPr>
        <w:t>Briefly, we currently believe that such risks also include the following: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fees, costs and supply of, or access to, debt, equity capital, or other sources of liquidity; the termination or non-renewal of existing contracts by customers; our failure to achieve and maintain profitability on a timely basis by steadily increasing our revenues from profitable contracts with a diversified group of customers, which would cause us to continue to use existing cash resources or require us to sell assets to fund operating losses; volatility of 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forecasts and our contractual obligations to meet current scheduling demands and production levels, which may negatively impact our operational capacity and our effectiveness to integrate new customers or suppliers, and in turn cause increases in our inventory and working capital levels; cost, quality and availability or lead times of raw materials such as steel, component parts (especially electronic components), natural gas or utilities including increased cost relating to inflation, as well as the impact of proposed or imposed tariffs by the U.S. government on imports to the U.S. and/or the imposition of retaliatory tariffs by foreign countries; our reliance on a few key customers, third party vendors and sub-suppliers; significant delays or reductions due to a prolonged continuing resolution or U.S. government shutdown reducing the spending on products and services that Sypris Electronics provides; risks of foreign operations, including foreign currency exchange rate risk exposure, which could impact our operating results; our failure to successfully complete final contract negotiations with regard to our announced contract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wins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the cost, quality, timeliness, efficiency and yield of our operations and capital investments, including the impact of inflation, tariffs, product recalls or related liabilities, employee training, working capital, production schedules, cycle times, scrap rates, injuries, wages, overtime costs, freight or expediting costs; inventory valuation risks including excessive or obsolescent valuations or price erosions of raw materials or component parts on hand or other potential impairments, non-recoverability or write-offs of assets or deferred costs; adverse impacts of new technologies or other competitive pressures which increase our costs or erode our margins; the costs and supply of insurance on acceptable terms and with adequate coverage; unanticipated or uninsured product liability claims, disasters, public health crises, losses or business risks; breakdowns, relocations or major repairs of machinery and equipment, especially in our Toluca Plant; the costs of compliance with our auditing, regulatory or contractual obligations; pension valuation, health care or other benefit costs; dependence on, retention or recruitment of key employees and highly skilled personnel and distribution of our human capital; our reliance on revenues from customers in the oil and gas and automotive markets, with increasing consumer pressure for reductions in environmental impacts attributed to greenhouse gas emissions and increased vehicle fuel economy; our failure to successfully win new business or develop new or improved products or new markets for our products; war, geopolitical conflict, terrorism, or political uncertainty, or disruptions resulting from the Russia-Ukraine war or the Israel and Gaza conflict, including arising out of international sanctions, foreign currency fluctuations and other economic impacts; labor relations; strikes; union negotiations; disputes or litigation involving governmental, supplier, customer, employee, creditor, stockholder, premises liability, personal injury, product liability, warranty or environmental claims; failure to adequately insure or to identify product liability, environmental or other insurable risks; costs associated with environmental or other claims relating to properties previously owned; our inability to patent or otherwise protect our inventions or other intellectual property rights from potential competitors or fully exploit such rights which could materially affect our ability to compete in our chosen markets; changes in licenses, security clearances, or other legal rights to operate, manage our work force or import and export as needed; cyber security threats and disruptions, including ransomware attacks on our systems and the systems of third-party vendors and other parties with which we conduct business, all of which may become more pronounced in the event of geopolitical conflicts and other uncertainties, such as the conflict in Ukraine; our ability to maintain compliance with the Nasdaq listing standards minimum closing bid price; risks related to owning our common stock, including increased volatility; possible public policy response to a public health emergency, including U.S. or foreign government legislation or restrictions that may impact our operations or supply chain; or unknown risks and uncertainties. We undertake no obligation to update our forward-looking statements, except as may be required by law.</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Sypris Reports Third Quarter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SYPRIS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01"/>
        </w:trPr>
        <w:tc>
          <w:tcPr>
            <w:tcW w:w="5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center"/>
              <w:ind w:right="2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28,</w:t>
            </w: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9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20" w:type="dxa"/>
            <w:vAlign w:val="bottom"/>
          </w:tcPr>
          <w:p>
            <w:pPr>
              <w:spacing w:after="0"/>
              <w:rPr>
                <w:sz w:val="17"/>
                <w:szCs w:val="17"/>
                <w:color w:val="auto"/>
              </w:rPr>
            </w:pPr>
          </w:p>
        </w:tc>
      </w:tr>
      <w:tr>
        <w:trPr>
          <w:trHeight w:val="238"/>
        </w:trPr>
        <w:tc>
          <w:tcPr>
            <w:tcW w:w="52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r>
      <w:tr>
        <w:trPr>
          <w:trHeight w:val="210"/>
        </w:trPr>
        <w:tc>
          <w:tcPr>
            <w:tcW w:w="5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28,672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35,657</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22,325</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22,088</w:t>
            </w:r>
          </w:p>
        </w:tc>
      </w:tr>
      <w:tr>
        <w:trPr>
          <w:trHeight w:val="234"/>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22,863</w:t>
            </w:r>
          </w:p>
        </w:tc>
        <w:tc>
          <w:tcPr>
            <w:tcW w:w="2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22,415</w:t>
            </w:r>
          </w:p>
        </w:tc>
      </w:tr>
      <w:tr>
        <w:trPr>
          <w:trHeight w:val="427"/>
        </w:trPr>
        <w:tc>
          <w:tcPr>
            <w:tcW w:w="5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8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01"/>
        </w:trPr>
        <w:tc>
          <w:tcPr>
            <w:tcW w:w="5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center"/>
              <w:ind w:right="2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28,</w:t>
            </w: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9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20" w:type="dxa"/>
            <w:vAlign w:val="bottom"/>
          </w:tcPr>
          <w:p>
            <w:pPr>
              <w:spacing w:after="0"/>
              <w:rPr>
                <w:sz w:val="17"/>
                <w:szCs w:val="17"/>
                <w:color w:val="auto"/>
              </w:rPr>
            </w:pPr>
          </w:p>
        </w:tc>
      </w:tr>
      <w:tr>
        <w:trPr>
          <w:trHeight w:val="238"/>
        </w:trPr>
        <w:tc>
          <w:tcPr>
            <w:tcW w:w="52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r>
      <w:tr>
        <w:trPr>
          <w:trHeight w:val="209"/>
        </w:trPr>
        <w:tc>
          <w:tcPr>
            <w:tcW w:w="5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89,606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106,731</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(1,815)</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common share:</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22,251</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21,973</w:t>
            </w:r>
          </w:p>
        </w:tc>
      </w:tr>
      <w:tr>
        <w:trPr>
          <w:trHeight w:val="234"/>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22,251</w:t>
            </w:r>
          </w:p>
        </w:tc>
        <w:tc>
          <w:tcPr>
            <w:tcW w:w="2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21,973</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Sypris Reports Third Quarter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Sypris Solutions,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0"/>
                <w:szCs w:val="20"/>
                <w:color w:val="auto"/>
              </w:rPr>
            </w:pPr>
          </w:p>
        </w:tc>
        <w:tc>
          <w:tcPr>
            <w:tcW w:w="2300" w:type="dxa"/>
            <w:vAlign w:val="bottom"/>
            <w:gridSpan w:val="5"/>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01"/>
        </w:trPr>
        <w:tc>
          <w:tcPr>
            <w:tcW w:w="5980" w:type="dxa"/>
            <w:vAlign w:val="bottom"/>
          </w:tcPr>
          <w:p>
            <w:pPr>
              <w:spacing w:after="0"/>
              <w:rPr>
                <w:sz w:val="17"/>
                <w:szCs w:val="17"/>
                <w:color w:val="auto"/>
              </w:rPr>
            </w:pPr>
          </w:p>
        </w:tc>
        <w:tc>
          <w:tcPr>
            <w:tcW w:w="1380" w:type="dxa"/>
            <w:vAlign w:val="bottom"/>
            <w:tcBorders>
              <w:top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29,</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Sypris Technologies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11,534</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19,469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39,204</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55,660</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Sypris Electronics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17,138</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16,188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50,402</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51,071</w:t>
            </w:r>
          </w:p>
        </w:tc>
        <w:tc>
          <w:tcPr>
            <w:tcW w:w="0" w:type="dxa"/>
            <w:vAlign w:val="bottom"/>
          </w:tcPr>
          <w:p>
            <w:pPr>
              <w:spacing w:after="0"/>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revenue</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28,672</w:t>
            </w: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35,657</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89,606</w:t>
            </w: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Sypris Technologies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10,664</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15,808</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34,084</w:t>
            </w:r>
          </w:p>
        </w:tc>
        <w:tc>
          <w:tcPr>
            <w:tcW w:w="38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47,229</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Sypris Electronics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15,957</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13,870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47,521</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44,998</w:t>
            </w:r>
          </w:p>
        </w:tc>
        <w:tc>
          <w:tcPr>
            <w:tcW w:w="0" w:type="dxa"/>
            <w:vAlign w:val="bottom"/>
          </w:tcPr>
          <w:p>
            <w:pPr>
              <w:spacing w:after="0"/>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 of sales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26,621</w:t>
            </w: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29,678</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81,605</w:t>
            </w: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Sypris Technologies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870</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3,661</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5,120</w:t>
            </w:r>
          </w:p>
        </w:tc>
        <w:tc>
          <w:tcPr>
            <w:tcW w:w="38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8,431</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Sypris Electronics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1,181</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2,881</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6,073</w:t>
            </w:r>
          </w:p>
        </w:tc>
        <w:tc>
          <w:tcPr>
            <w:tcW w:w="0" w:type="dxa"/>
            <w:vAlign w:val="bottom"/>
          </w:tcPr>
          <w:p>
            <w:pPr>
              <w:spacing w:after="0"/>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gross profit</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3,789</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11,310</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12,876</w:t>
            </w:r>
          </w:p>
        </w:tc>
        <w:tc>
          <w:tcPr>
            <w:tcW w:w="0" w:type="dxa"/>
            <w:vAlign w:val="bottom"/>
          </w:tcPr>
          <w:p>
            <w:pPr>
              <w:spacing w:after="0"/>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1,068</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(2,474)</w:t>
            </w: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(2,085)</w:t>
            </w:r>
          </w:p>
        </w:tc>
        <w:tc>
          <w:tcPr>
            <w:tcW w:w="380" w:type="dxa"/>
            <w:vAlign w:val="bottom"/>
          </w:tcPr>
          <w:p>
            <w:pPr>
              <w:spacing w:after="0"/>
              <w:rPr>
                <w:sz w:val="19"/>
                <w:szCs w:val="19"/>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before taxes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 net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w:t>
            </w: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141</w:t>
            </w:r>
          </w:p>
        </w:tc>
        <w:tc>
          <w:tcPr>
            <w:tcW w:w="380" w:type="dxa"/>
            <w:vAlign w:val="bottom"/>
          </w:tcPr>
          <w:p>
            <w:pPr>
              <w:spacing w:after="0"/>
              <w:rPr>
                <w:sz w:val="19"/>
                <w:szCs w:val="19"/>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(loss) per common share:</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0.02</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(0.11)</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0.02</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(0.11)</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22,325</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22,088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22,251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21,973</w:t>
            </w:r>
          </w:p>
        </w:tc>
        <w:tc>
          <w:tcPr>
            <w:tcW w:w="0" w:type="dxa"/>
            <w:vAlign w:val="bottom"/>
          </w:tcPr>
          <w:p>
            <w:pPr>
              <w:spacing w:after="0"/>
              <w:rPr>
                <w:sz w:val="1"/>
                <w:szCs w:val="1"/>
                <w:color w:val="auto"/>
              </w:rPr>
            </w:pPr>
          </w:p>
        </w:tc>
      </w:t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22,863</w:t>
            </w: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22,415</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22,251</w:t>
            </w:r>
          </w:p>
        </w:tc>
        <w:tc>
          <w:tcPr>
            <w:tcW w:w="380" w:type="dxa"/>
            <w:vAlign w:val="bottom"/>
          </w:tcPr>
          <w:p>
            <w:pPr>
              <w:spacing w:after="0"/>
              <w:rPr>
                <w:sz w:val="20"/>
                <w:szCs w:val="20"/>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21,973</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Sypris Reports Third Quarter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Sypris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(Note)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9,675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10,593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57,270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66,680</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11,070</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13,299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4,310</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18,428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57,639</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obligations, current portion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financing obligations, current portion</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Working capital line of credit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 - related party, current portion</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 net of current portion</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financing obligations, net of current portion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 related party, net of current portion</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8,986</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6,510</w:t>
            </w: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par value $0.01 per share, 975,150 shares authorized; no shares issued</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A preferred stock, par value $0.01 per share, 24,850 shares authorized; no shares issued</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non-voting, par value $0.01 per share, 10,000,000 shares authorized; no shares issued</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30,000,000 shares authorized; 23,051,483 shares issued and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23,029,970 outstanding in 2025 and 23,041,523 shares issued and 23,020,010 outstanding in 2024</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157,717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156,980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(121,045)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(118,612)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(19,017)</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21,513 in 2025 and 2024</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Note: The balance sheet at December 31, 2024, has been derived from the audited consolidated financial statements at that date but does not include all information and footnotes required by accounting principles generally accepted in the United States for a complete set of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Sypris Reports Third Quarter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Sypris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Cash Flow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7"/>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01"/>
        </w:trPr>
        <w:tc>
          <w:tcPr>
            <w:tcW w:w="80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right"/>
              <w:ind w:right="40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90"/>
              <w:spacing w:after="0" w:line="201"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00" w:type="dxa"/>
            <w:vAlign w:val="bottom"/>
            <w:gridSpan w:val="2"/>
          </w:tcPr>
          <w:p>
            <w:pPr>
              <w:spacing w:after="0"/>
              <w:rPr>
                <w:sz w:val="17"/>
                <w:szCs w:val="17"/>
                <w:color w:val="auto"/>
              </w:rPr>
            </w:pP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5"/>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gridSpan w:val="2"/>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(1,815)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2,449</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loan costs amortized</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gain on the sale of assets</w:t>
            </w: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Non-cash lease expense</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898</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noncash items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Contributions to pension plans</w:t>
            </w: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(3,606)</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9,369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8,642</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(2,116)</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(3,986)</w:t>
            </w:r>
          </w:p>
        </w:tc>
      </w:tr>
      <w:tr>
        <w:trPr>
          <w:trHeight w:val="23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(1,903)</w:t>
            </w:r>
          </w:p>
        </w:tc>
      </w:tr>
      <w:tr>
        <w:trPr>
          <w:trHeight w:val="209"/>
        </w:trPr>
        <w:tc>
          <w:tcPr>
            <w:tcW w:w="8000" w:type="dxa"/>
            <w:vAlign w:val="bottom"/>
            <w:tcBorders>
              <w:top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(666)</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leaseback transaction</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equipment financing obligations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 Payable - related party</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equipment financing obligations</w:t>
            </w: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(471)</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Indirect repurchase of shares for minimum statutory tax withholdings</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210"/>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balances</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gridSpan w:val="2"/>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9,675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7,881</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END -</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2025-11-12T06:55:50Z</dcterms:created>
  <dcterms:modified xsi:type="dcterms:W3CDTF">2025-11-12T06:55:50Z</dcterms:modified>
</cp:coreProperties>
</file>