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210185</wp:posOffset>
            </wp:positionV>
            <wp:extent cx="1062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191135</wp:posOffset>
            </wp:positionV>
            <wp:extent cx="10629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Sypris Solutions,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0-24020</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61-1321992</w:t>
            </w:r>
          </w:p>
        </w:tc>
      </w:tr>
      <w:tr>
        <w:trPr>
          <w:trHeight w:val="216"/>
        </w:trPr>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54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4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101 Bullitt Lane, Suite 450</w:t>
            </w:r>
          </w:p>
        </w:tc>
        <w:tc>
          <w:tcPr>
            <w:tcW w:w="54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16"/>
        </w:trPr>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Louisville, Kentucky</w:t>
            </w:r>
          </w:p>
        </w:tc>
        <w:tc>
          <w:tcPr>
            <w:tcW w:w="5440" w:type="dxa"/>
            <w:vAlign w:val="bottom"/>
          </w:tcPr>
          <w:p>
            <w:pPr>
              <w:spacing w:after="0"/>
              <w:rPr>
                <w:sz w:val="18"/>
                <w:szCs w:val="18"/>
                <w:color w:val="auto"/>
              </w:rPr>
            </w:pPr>
          </w:p>
        </w:tc>
        <w:tc>
          <w:tcPr>
            <w:tcW w:w="16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40222</w:t>
            </w:r>
          </w:p>
        </w:tc>
      </w:tr>
      <w:tr>
        <w:trPr>
          <w:trHeight w:val="216"/>
        </w:trPr>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w:t>
            </w:r>
          </w:p>
        </w:tc>
        <w:tc>
          <w:tcPr>
            <w:tcW w:w="5440" w:type="dxa"/>
            <w:vAlign w:val="bottom"/>
          </w:tcPr>
          <w:p>
            <w:pPr>
              <w:spacing w:after="0"/>
              <w:rPr>
                <w:sz w:val="18"/>
                <w:szCs w:val="18"/>
                <w:color w:val="auto"/>
              </w:rPr>
            </w:pPr>
          </w:p>
        </w:tc>
        <w:tc>
          <w:tcPr>
            <w:tcW w:w="162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238"/>
        </w:trPr>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Offices)</w:t>
            </w:r>
          </w:p>
        </w:tc>
        <w:tc>
          <w:tcPr>
            <w:tcW w:w="54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s telephone number, including area code: (502) 329-2000</w:t>
            </w:r>
          </w:p>
        </w:tc>
        <w:tc>
          <w:tcPr>
            <w:tcW w:w="16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15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highlight w:val="black"/>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highlight w:val="black"/>
        </w:rPr>
      </w:pPr>
    </w:p>
    <w:p>
      <w:pPr>
        <w:ind w:left="340" w:hanging="332"/>
        <w:spacing w:after="0"/>
        <w:tabs>
          <w:tab w:leader="none" w:pos="3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highlight w:val="black"/>
        </w:rPr>
      </w:pPr>
    </w:p>
    <w:p>
      <w:pPr>
        <w:ind w:right="2440" w:firstLine="8"/>
        <w:spacing w:after="0" w:line="513" w:lineRule="auto"/>
        <w:tabs>
          <w:tab w:leader="none" w:pos="32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 Securities registered pursuant to Section 12(b) of the Act:</w:t>
      </w:r>
    </w:p>
    <w:tbl>
      <w:tblPr>
        <w:tblLayout w:type="fixed"/>
        <w:tblInd w:w="90" w:type="dxa"/>
        <w:tblCellMar>
          <w:top w:w="0" w:type="dxa"/>
          <w:left w:w="0" w:type="dxa"/>
          <w:bottom w:w="0" w:type="dxa"/>
          <w:right w:w="0" w:type="dxa"/>
        </w:tblCellMar>
      </w:tblPr>
      <w:tr>
        <w:trPr>
          <w:trHeight w:val="211"/>
        </w:trPr>
        <w:tc>
          <w:tcPr>
            <w:tcW w:w="41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0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416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0"/>
        </w:trPr>
        <w:tc>
          <w:tcPr>
            <w:tcW w:w="41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28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SYPR</w:t>
            </w:r>
          </w:p>
        </w:tc>
        <w:tc>
          <w:tcPr>
            <w:tcW w:w="41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NASDAQGlobal Select Market</w:t>
            </w:r>
          </w:p>
        </w:tc>
      </w:tr>
    </w:tbl>
    <w:p>
      <w:pPr>
        <w:spacing w:after="0" w:line="194" w:lineRule="exact"/>
        <w:rPr>
          <w:sz w:val="24"/>
          <w:szCs w:val="24"/>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230.405 of this chapter) or Rule 12b-2 of the Securities Exchange Act of 1934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240.12b-2 of this chapter).</w:t>
      </w:r>
    </w:p>
    <w:p>
      <w:pPr>
        <w:spacing w:after="0" w:line="118" w:lineRule="exact"/>
        <w:rPr>
          <w:sz w:val="24"/>
          <w:szCs w:val="24"/>
          <w:color w:val="auto"/>
        </w:rPr>
      </w:pPr>
    </w:p>
    <w:p>
      <w:pPr>
        <w:spacing w:after="0" w:line="207" w:lineRule="exact"/>
        <w:tabs>
          <w:tab w:leader="none" w:pos="10800" w:val="left"/>
        </w:tabs>
        <w:rPr>
          <w:sz w:val="20"/>
          <w:szCs w:val="20"/>
          <w:color w:val="auto"/>
        </w:rPr>
      </w:pPr>
      <w:r>
        <w:rPr>
          <w:rFonts w:ascii="Times New Roman" w:cs="Times New Roman" w:eastAsia="Times New Roman" w:hAnsi="Times New Roman"/>
          <w:sz w:val="18"/>
          <w:szCs w:val="18"/>
          <w:b w:val="1"/>
          <w:bCs w:val="1"/>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225" w:lineRule="exact"/>
        <w:rPr>
          <w:sz w:val="24"/>
          <w:szCs w:val="24"/>
          <w:color w:val="auto"/>
        </w:rPr>
      </w:pPr>
    </w:p>
    <w:p>
      <w:pPr>
        <w:ind w:right="240"/>
        <w:spacing w:after="0" w:line="245"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regular Annual Meeting of Stockholders of Sypris Solutions, Inc. (the “Company”) was held in Louisville, Kentucky on June 16, 2026, for the purpose of voting on the proposals described below. Proxies for the meeting were solicited pursuant to Section 14(a) of the Securities Exchange Act of 1934, and there was no solicitation in opposition to management’s nominees for directors. The total number of shares of common stock outstanding as of April 27, 2026, the record date of the Annual Meeting of Stockholders, was 23,011,130.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Matters submitted to stockholders at the meeting and the voting results thereof were as follows:</w:t>
      </w:r>
    </w:p>
    <w:p>
      <w:pPr>
        <w:spacing w:after="0" w:line="223"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Election of Directors. </w:t>
      </w:r>
      <w:r>
        <w:rPr>
          <w:rFonts w:ascii="Times New Roman" w:cs="Times New Roman" w:eastAsia="Times New Roman" w:hAnsi="Times New Roman"/>
          <w:sz w:val="18"/>
          <w:szCs w:val="18"/>
          <w:color w:val="auto"/>
        </w:rPr>
        <w:t>The stockholders of the Company elected each of the Class III director nominees proposed by the Company’s Board of Directors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 until the 2029 Annual Meeting of Stockholders and until their successors are duly elected and qualified. The following is a breakdown of the voting results: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w:t>
            </w:r>
          </w:p>
        </w:tc>
        <w:tc>
          <w:tcPr>
            <w:tcW w:w="23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FOR</w:t>
            </w:r>
          </w:p>
        </w:tc>
        <w:tc>
          <w:tcPr>
            <w:tcW w:w="26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WITHHELD</w:t>
            </w:r>
          </w:p>
        </w:tc>
        <w:tc>
          <w:tcPr>
            <w:tcW w:w="33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09"/>
        </w:trPr>
        <w:tc>
          <w:tcPr>
            <w:tcW w:w="1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G. Ferko</w:t>
            </w:r>
          </w:p>
        </w:tc>
        <w:tc>
          <w:tcPr>
            <w:tcW w:w="2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12,560,502</w:t>
            </w:r>
          </w:p>
        </w:tc>
        <w:tc>
          <w:tcPr>
            <w:tcW w:w="260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295,453</w:t>
            </w:r>
          </w:p>
        </w:tc>
        <w:tc>
          <w:tcPr>
            <w:tcW w:w="33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9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1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T. Gill</w:t>
            </w:r>
          </w:p>
        </w:tc>
        <w:tc>
          <w:tcPr>
            <w:tcW w:w="2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12,805,569</w:t>
            </w:r>
          </w:p>
        </w:tc>
        <w:tc>
          <w:tcPr>
            <w:tcW w:w="26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50,386</w:t>
            </w:r>
          </w:p>
        </w:tc>
        <w:tc>
          <w:tcPr>
            <w:tcW w:w="33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6"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Advisory Vote on Named Executive Officer Compensation. </w:t>
      </w:r>
      <w:r>
        <w:rPr>
          <w:rFonts w:ascii="Times New Roman" w:cs="Times New Roman" w:eastAsia="Times New Roman" w:hAnsi="Times New Roman"/>
          <w:sz w:val="18"/>
          <w:szCs w:val="18"/>
          <w:color w:val="auto"/>
        </w:rPr>
        <w:t>The stockholders of the Company approved an advisory resolution approving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Company’s named executive officers as disclosed in the Company’s definitive proxy statement filed with the Securities and Exchange Commission on April 30, 2026 (the “Proxy Statement”). The following is a breakdown of the voting results: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w:t>
            </w:r>
          </w:p>
        </w:tc>
        <w:tc>
          <w:tcPr>
            <w:tcW w:w="25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AGAINST</w:t>
            </w:r>
          </w:p>
        </w:tc>
        <w:tc>
          <w:tcPr>
            <w:tcW w:w="25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ABSTAIN</w:t>
            </w:r>
          </w:p>
        </w:tc>
        <w:tc>
          <w:tcPr>
            <w:tcW w:w="340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BROKER NON-VOTES</w:t>
            </w:r>
          </w:p>
        </w:tc>
        <w:tc>
          <w:tcPr>
            <w:tcW w:w="1140" w:type="dxa"/>
            <w:vAlign w:val="bottom"/>
          </w:tcPr>
          <w:p>
            <w:pPr>
              <w:spacing w:after="0"/>
              <w:rPr>
                <w:sz w:val="20"/>
                <w:szCs w:val="20"/>
                <w:color w:val="auto"/>
              </w:rPr>
            </w:pPr>
          </w:p>
        </w:tc>
      </w:tr>
      <w:tr>
        <w:trPr>
          <w:trHeight w:val="209"/>
        </w:trPr>
        <w:tc>
          <w:tcPr>
            <w:tcW w:w="16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12,687,835</w:t>
            </w:r>
          </w:p>
        </w:tc>
        <w:tc>
          <w:tcPr>
            <w:tcW w:w="25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154,456</w:t>
            </w:r>
          </w:p>
        </w:tc>
        <w:tc>
          <w:tcPr>
            <w:tcW w:w="25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13,664</w:t>
            </w:r>
          </w:p>
        </w:tc>
        <w:tc>
          <w:tcPr>
            <w:tcW w:w="3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spacing w:after="0"/>
              <w:rPr>
                <w:sz w:val="18"/>
                <w:szCs w:val="18"/>
                <w:color w:val="auto"/>
              </w:rPr>
            </w:pPr>
          </w:p>
        </w:tc>
      </w:tr>
      <w:tr>
        <w:trPr>
          <w:trHeight w:val="331"/>
        </w:trPr>
        <w:tc>
          <w:tcPr>
            <w:tcW w:w="16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June 22, 2026</w:t>
      </w:r>
      <w:r>
        <w:rPr>
          <w:sz w:val="20"/>
          <w:szCs w:val="20"/>
          <w:color w:val="auto"/>
        </w:rPr>
        <w:tab/>
      </w:r>
      <w:r>
        <w:rPr>
          <w:rFonts w:ascii="Times New Roman" w:cs="Times New Roman" w:eastAsia="Times New Roman" w:hAnsi="Times New Roman"/>
          <w:sz w:val="17"/>
          <w:szCs w:val="17"/>
          <w:b w:val="1"/>
          <w:bCs w:val="1"/>
          <w:color w:val="auto"/>
        </w:rPr>
        <w:t>Sypris Solutions, Inc.</w:t>
      </w:r>
    </w:p>
    <w:p>
      <w:pPr>
        <w:spacing w:after="0" w:line="229"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Rebecca R. Eckert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Rebecca R. Eckert</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Vice President, Chief Accounting Officer &amp; Controller</w:t>
      </w:r>
    </w:p>
    <w:sectPr>
      <w:pgSz w:w="11900" w:h="16838" w:orient="portrait"/>
      <w:cols w:equalWidth="0" w:num="1">
        <w:col w:w="10740"/>
      </w:cols>
      <w:pgMar w:left="320" w:top="333"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2026-06-22T10:33:09Z</dcterms:created>
  <dcterms:modified xsi:type="dcterms:W3CDTF">2026-06-22T10:33:09Z</dcterms:modified>
</cp:coreProperties>
</file>