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RICHARD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BULLITT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SYPRIS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("RSUs") under the 2025 Sypris Omnibus Plan. Each RSU represents a contingent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in full on the three-year anniversary date of the grant, provided that the Reporting Person remains employed by the Issuer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A. Brady, by Power of Attorney on file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935" TargetMode="External"/><Relationship Id="rId5" Type="http://schemas.openxmlformats.org/officeDocument/2006/relationships/hyperlink" Target="http://www.sec.gov/cgi-bin/browse-edgar?action=getcompany&amp;CIK=0000864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3386</Characters>
  <CharactersWithSpaces>3956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